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b/>
        </w:rPr>
      </w:pPr>
      <w:r>
        <w:rPr>
          <w:b/>
        </w:rPr>
        <w:t>NO：2021</w:t>
      </w:r>
      <w:r>
        <w:rPr>
          <w:rFonts w:hint="eastAsia"/>
          <w:b/>
          <w:color w:val="FF0000"/>
          <w:u w:val="single" w:color="FF0000"/>
        </w:rPr>
        <w:t>00</w:t>
      </w:r>
      <w:r>
        <w:rPr>
          <w:b/>
          <w:color w:val="FF0000"/>
          <w:u w:val="single" w:color="FF0000"/>
        </w:rPr>
        <w:t>1</w:t>
      </w:r>
    </w:p>
    <w:p>
      <w:pPr>
        <w:spacing w:after="156" w:afterLines="50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询价采购报价单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</w:rPr>
        <w:t>项目名称：东台市人民检察院视频会议设备采购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050"/>
        <w:gridCol w:w="645"/>
        <w:gridCol w:w="690"/>
        <w:gridCol w:w="1335"/>
        <w:gridCol w:w="1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名  称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型 号 及 配 置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单位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数量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单 价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报 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6" w:type="dxa"/>
            <w:vAlign w:val="center"/>
          </w:tcPr>
          <w:p>
            <w:pPr>
              <w:rPr>
                <w:rFonts w:eastAsia="仿宋_GB2312"/>
                <w:b/>
              </w:rPr>
            </w:pPr>
            <w:r>
              <w:rPr>
                <w:rFonts w:hint="eastAsia" w:ascii="宋体" w:hAnsi="宋体"/>
                <w:b/>
              </w:rPr>
              <w:t>超高清视频会议终端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型号：</w:t>
            </w:r>
            <w:r>
              <w:t>SKY X500-4K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总体要求：无缝接入现有高清视频会议系统；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采用硬件分体式结构,嵌入式操作系统，非PC架构、非工控机架构。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支持ITU-T H.320、H.323和IETF SIP通信标准，会议速率支持128Kbps－8Mbps。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支持H.261、H.263、MPEG4、H.264、H.264 High Profile、H.265视频协议。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支持G.711、G.722、G.728、G.722.1AnnexC、G.719、MPEG4-AAC LC/LD、Opus等音频协议，可达到20KHz以上的宽频效果。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支持H.239、BFCP双流协议标准。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支持4K30、1080p60、1080p30、720p60、720p30高清分辨率，并向下兼容4CIF、CIF标清分辨率。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支持在较低的带宽下实现超高清视频效果，支持1Mbps呼叫带宽即可实现4K30fps超高清图像。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在保证主视频4K30fps前提下，辅视频可以支持到4K30fps。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支持不少于6路高清视频输入接口、6路高清输出接口，接口需包括3G-SDI、DVI-I、HDMI、VGA高清输入输出接口。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支持标准的HDBaseT视频输入接口，支持视频、供电、控制三线合一，可通过网线作为传输介质，无需外接其他设备传输距离可达100米。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支持不少于6进5出独立的音频输入输出接口，支持3G-SDI、HDMI伴随音频输入输出功能。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支持H.235协议的音视频加密，支持AES256加密算法，SIP协议支持TLS、SRTP加密。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具备较强的网络抗丢包能力，在IP网络达到25%丢包率情况下声音清晰、图像流畅、无马赛克，70%的丢包率情况下音频不受影响、声音基本清晰流畅，偶有卡顿，但可恢复。</w:t>
            </w:r>
          </w:p>
        </w:tc>
        <w:tc>
          <w:tcPr>
            <w:tcW w:w="645" w:type="dxa"/>
            <w:vAlign w:val="center"/>
          </w:tcPr>
          <w:p>
            <w:pPr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6" w:type="dxa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超高清摄像机</w:t>
            </w:r>
          </w:p>
        </w:tc>
        <w:tc>
          <w:tcPr>
            <w:tcW w:w="4050" w:type="dxa"/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型号：M</w:t>
            </w:r>
            <w:r>
              <w:t>OON</w:t>
            </w:r>
            <w:r>
              <w:rPr>
                <w:rFonts w:hint="eastAsia"/>
              </w:rPr>
              <w:t>7</w:t>
            </w:r>
            <w:r>
              <w:t>0-4K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总体要求：摄像机需与视频终端同一品牌。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支持壁装、三脚架安装或吊顶安装等多种安装方式，可按用户需求进行安装。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图像传感器采用不小于1/1.8"4K2K 图像传感器，支持4K2K（3840×2160）30Hz、4K2K（3840×2160）25Hz、1080p60、1080p50、1080p30、1080p25、720p60、720p50等高清信号输出。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支持不小于30倍光学变倍。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支持广角镜头，水平视角不小于58°。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视频输出接口具备HDBaseT、HDMI接口。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支持供电、显示、控制多线合一，只连接一根超五类网线实现供电、图像显示、摄像机控制，支持4K信号传输100米。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支持RS422控制接口，支持标准VISCA和PELCO协议，支持摄像机通过控制口RS422实现菊花链控制，菊花链控制摄像机不小于7个，并联控制不少于64个。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支持中文OSD菜单，可在OSD中对摄像机进行设置。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水平转动范围：≥ ±160°，垂直转动范围：≥ -90°～50°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支持自带显示屏，可方便显示视频输出分辨率。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支持根据安装方向自动翻转图像。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支持保存不少于255个预置位。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支持ZigBee控制，支持360°控制、有遮挡物时也能正常控制。</w:t>
            </w:r>
          </w:p>
          <w:p>
            <w:pPr>
              <w:widowControl/>
              <w:shd w:val="clear" w:color="auto" w:fill="FFFFFF"/>
              <w:wordWrap w:val="0"/>
              <w:jc w:val="left"/>
              <w:textAlignment w:val="baseline"/>
            </w:pPr>
            <w:r>
              <w:rPr>
                <w:rFonts w:hint="eastAsia"/>
              </w:rPr>
              <w:t>支持终端遥控器通过摄像机反向控制会议终端。</w:t>
            </w:r>
          </w:p>
        </w:tc>
        <w:tc>
          <w:tcPr>
            <w:tcW w:w="645" w:type="dxa"/>
            <w:vAlign w:val="center"/>
          </w:tcPr>
          <w:p>
            <w:pPr>
              <w:rPr>
                <w:rFonts w:eastAsia="仿宋_GB2312"/>
                <w:b/>
                <w:color w:val="000000"/>
              </w:rPr>
            </w:pPr>
            <w:r>
              <w:rPr>
                <w:rFonts w:hint="eastAsia" w:eastAsia="仿宋_GB2312"/>
                <w:b/>
                <w:color w:val="000000"/>
              </w:rPr>
              <w:t>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/>
                <w:color w:val="000000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61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18"/>
              </w:rPr>
              <w:t>总价（大写：）</w:t>
            </w:r>
          </w:p>
        </w:tc>
        <w:tc>
          <w:tcPr>
            <w:tcW w:w="8185" w:type="dxa"/>
            <w:gridSpan w:val="5"/>
            <w:vAlign w:val="center"/>
          </w:tcPr>
          <w:p>
            <w:pPr>
              <w:widowControl/>
              <w:rPr>
                <w:rFonts w:ascii="Arial" w:hAnsi="Arial"/>
                <w:kern w:val="0"/>
                <w:sz w:val="20"/>
              </w:rPr>
            </w:pPr>
          </w:p>
        </w:tc>
      </w:tr>
    </w:tbl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注：单价、报价及总价中包含运输、安装、调试、售后服务、辅材和税费等全部费用，报价时应逐项填写单价和报价，最后汇总得出总价。</w:t>
      </w:r>
    </w:p>
    <w:p>
      <w:pPr>
        <w:ind w:right="-105" w:rightChars="-50" w:firstLine="420" w:firstLineChars="200"/>
        <w:rPr>
          <w:rFonts w:ascii="宋体" w:hAnsi="宋体"/>
        </w:rPr>
      </w:pP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报价单位联系人及电话：</w:t>
      </w:r>
    </w:p>
    <w:p>
      <w:pPr>
        <w:ind w:right="-105" w:rightChars="-50" w:firstLine="420" w:firstLineChars="200"/>
        <w:rPr>
          <w:rFonts w:ascii="宋体" w:hAnsi="宋体"/>
        </w:rPr>
      </w:pPr>
    </w:p>
    <w:p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报价单位：（盖章）                 </w:t>
      </w:r>
    </w:p>
    <w:p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二〇二一年    月   日     </w:t>
      </w:r>
    </w:p>
    <w:p>
      <w:pPr>
        <w:ind w:right="-105" w:rightChars="-50"/>
        <w:rPr>
          <w:rFonts w:ascii="宋体" w:hAnsi="宋体"/>
          <w:u w:val="dotDash"/>
        </w:rPr>
      </w:pPr>
      <w:r>
        <w:rPr>
          <w:rFonts w:hint="eastAsia" w:ascii="宋体" w:hAnsi="宋体"/>
          <w:u w:val="dotDash"/>
        </w:rPr>
        <w:t xml:space="preserve">                                                                                              </w:t>
      </w:r>
    </w:p>
    <w:p>
      <w:pPr>
        <w:spacing w:before="156" w:beforeLines="50"/>
        <w:rPr>
          <w:rFonts w:ascii="宋体" w:hAnsi="宋体"/>
          <w:b/>
        </w:rPr>
      </w:pPr>
      <w:r>
        <w:rPr>
          <w:rFonts w:hint="eastAsia" w:ascii="宋体" w:hAnsi="宋体"/>
          <w:b/>
        </w:rPr>
        <w:t>询价要求：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1、参加报价的供应商须从事本次询价货物的生产或销售，投标时提供营业执照副本复印件。</w:t>
      </w:r>
    </w:p>
    <w:p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2、本项目所投</w:t>
      </w:r>
      <w:r>
        <w:rPr>
          <w:rFonts w:ascii="宋体" w:hAnsi="宋体"/>
        </w:rPr>
        <w:t>产品的质量保证期为三年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从验收合格后开始计算。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</w:t>
      </w:r>
      <w:r>
        <w:rPr>
          <w:rFonts w:hint="eastAsia" w:ascii="宋体" w:hAnsi="宋体"/>
          <w:b/>
        </w:rPr>
        <w:t>本采购文件的合法性、合规性及合理性均由采购人负责</w:t>
      </w:r>
      <w:r>
        <w:rPr>
          <w:rFonts w:hint="eastAsia" w:ascii="宋体" w:hAnsi="宋体"/>
        </w:rPr>
        <w:t>，报价单位如有疑问请于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color w:val="FF0000"/>
          <w:u w:val="single"/>
        </w:rPr>
        <w:t>5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ascii="宋体" w:hAnsi="宋体"/>
          <w:color w:val="FF0000"/>
          <w:u w:val="single"/>
        </w:rPr>
        <w:t xml:space="preserve"> 2</w:t>
      </w:r>
      <w:r>
        <w:rPr>
          <w:rFonts w:hint="eastAsia" w:ascii="宋体" w:hAnsi="宋体"/>
          <w:color w:val="FF0000"/>
          <w:u w:val="single"/>
          <w:lang w:val="en-US" w:eastAsia="zh-CN"/>
        </w:rPr>
        <w:t>6</w:t>
      </w:r>
      <w:r>
        <w:rPr>
          <w:rFonts w:hint="eastAsia" w:ascii="宋体" w:hAnsi="宋体"/>
        </w:rPr>
        <w:t>日10时前书面提出，采购人于</w:t>
      </w:r>
      <w:r>
        <w:rPr>
          <w:rFonts w:ascii="宋体" w:hAnsi="宋体"/>
          <w:color w:val="FF0000"/>
          <w:u w:val="single"/>
        </w:rPr>
        <w:t>5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 </w:t>
      </w:r>
      <w:r>
        <w:rPr>
          <w:rFonts w:ascii="宋体" w:hAnsi="宋体"/>
          <w:color w:val="FF0000"/>
          <w:u w:val="single"/>
        </w:rPr>
        <w:t>2</w:t>
      </w:r>
      <w:r>
        <w:rPr>
          <w:rFonts w:hint="eastAsia" w:ascii="宋体" w:hAnsi="宋体"/>
          <w:color w:val="FF0000"/>
          <w:u w:val="single"/>
          <w:lang w:val="en-US" w:eastAsia="zh-CN"/>
        </w:rPr>
        <w:t>6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日18时前予以答复。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4、报价单填写内容字迹必须工整，产品型号及配置要求和报价均不得修改。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、参加询价采购的供应商应仔细阅读理解采购单位的询价文件要求，对所投产品负责，一旦成为成交供应商必须及时按照询价文件要求签订合同，否则询价保证金不予退还并按有关规定处理。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6</w:t>
      </w:r>
      <w:r>
        <w:rPr>
          <w:rFonts w:hint="eastAsia" w:ascii="宋体" w:hAnsi="宋体"/>
        </w:rPr>
        <w:t>、询价报价文件的组成及份数：（1）营业执照副本复印件；（2）询价采购报价单；（3）与询价有关的其他资料。询价报价文件正本一份，副本一份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一并密封。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、询价报价文件的递交：询价报价文件应密封，在密封袋上注明</w:t>
      </w:r>
      <w:r>
        <w:rPr>
          <w:rFonts w:hint="eastAsia" w:ascii="宋体" w:hAnsi="宋体"/>
          <w:b/>
        </w:rPr>
        <w:t>报价单位、所报项目名称、询价单编号及联系人姓名和联系号码</w:t>
      </w:r>
      <w:r>
        <w:rPr>
          <w:rFonts w:hint="eastAsia" w:ascii="宋体" w:hAnsi="宋体"/>
        </w:rPr>
        <w:t>，并于</w:t>
      </w:r>
      <w:r>
        <w:rPr>
          <w:rFonts w:ascii="宋体" w:hAnsi="宋体"/>
          <w:color w:val="FF0000"/>
          <w:u w:val="single"/>
        </w:rPr>
        <w:t>5</w:t>
      </w:r>
      <w:r>
        <w:rPr>
          <w:rFonts w:hint="eastAsia" w:ascii="宋体" w:hAnsi="宋体"/>
          <w:color w:val="FF0000"/>
          <w:u w:val="single"/>
        </w:rPr>
        <w:t xml:space="preserve"> 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ascii="宋体" w:hAnsi="宋体"/>
          <w:color w:val="FF0000"/>
          <w:u w:val="single"/>
        </w:rPr>
        <w:t>2</w:t>
      </w:r>
      <w:r>
        <w:rPr>
          <w:rFonts w:hint="eastAsia" w:ascii="宋体" w:hAnsi="宋体"/>
          <w:color w:val="FF0000"/>
          <w:u w:val="single"/>
          <w:lang w:val="en-US" w:eastAsia="zh-CN"/>
        </w:rPr>
        <w:t>8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14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时30分前送达东台市人民检察院(东台市北海路6号）。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8</w:t>
      </w:r>
      <w:r>
        <w:rPr>
          <w:rFonts w:hint="eastAsia" w:ascii="宋体" w:hAnsi="宋体"/>
        </w:rPr>
        <w:t>、采购单位于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ascii="宋体" w:hAnsi="宋体"/>
          <w:color w:val="FF0000"/>
          <w:u w:val="single"/>
        </w:rPr>
        <w:t>5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  <w:color w:val="FF0000"/>
        </w:rPr>
        <w:t>月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ascii="宋体" w:hAnsi="宋体"/>
          <w:color w:val="FF0000"/>
          <w:u w:val="single"/>
        </w:rPr>
        <w:t>2</w:t>
      </w:r>
      <w:r>
        <w:rPr>
          <w:rFonts w:hint="eastAsia" w:ascii="宋体" w:hAnsi="宋体"/>
          <w:color w:val="FF0000"/>
          <w:u w:val="single"/>
          <w:lang w:val="en-US" w:eastAsia="zh-CN"/>
        </w:rPr>
        <w:t>8</w:t>
      </w:r>
      <w:r>
        <w:rPr>
          <w:rFonts w:hint="eastAsia" w:ascii="宋体" w:hAnsi="宋体"/>
          <w:color w:val="FF0000"/>
          <w:u w:val="single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14</w:t>
      </w:r>
      <w:r>
        <w:rPr>
          <w:rFonts w:hint="eastAsia" w:ascii="宋体" w:hAnsi="宋体"/>
        </w:rPr>
        <w:t>时30分后开拆询价报价文件，按照符合采购需求、质量和服务相等且报价最低的原则确定成交供应商，对报价计算错误的按财政部第18号令的原则进行修正，并将询价结果进行公示。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9</w:t>
      </w:r>
      <w:r>
        <w:rPr>
          <w:rFonts w:hint="eastAsia" w:ascii="宋体" w:hAnsi="宋体"/>
        </w:rPr>
        <w:t>、成交结果公示后，成交供应商须在3个工作日内与采购单位签定合同。并在合同签订</w:t>
      </w:r>
      <w:r>
        <w:rPr>
          <w:rFonts w:hint="eastAsia" w:ascii="宋体" w:hAnsi="宋体"/>
          <w:u w:val="single"/>
        </w:rPr>
        <w:t xml:space="preserve">7 </w:t>
      </w:r>
      <w:r>
        <w:rPr>
          <w:rFonts w:hint="eastAsia" w:ascii="宋体" w:hAnsi="宋体"/>
        </w:rPr>
        <w:t>日内供货并安装调试完毕。合同（一式四份）应及时送东台市财政局（东台市市政府四楼）备案（合同样式可从中心网下载园地获取）。</w:t>
      </w:r>
    </w:p>
    <w:p>
      <w:pPr>
        <w:ind w:right="-105" w:rightChars="-50"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、付款方式：产品全部安装调试完毕，经验收合格后付合同价的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>95</w:t>
      </w:r>
      <w:r>
        <w:rPr>
          <w:rFonts w:hint="eastAsia" w:ascii="宋体" w:hAnsi="宋体"/>
          <w:u w:val="single"/>
        </w:rPr>
        <w:t>%</w:t>
      </w:r>
      <w:r>
        <w:rPr>
          <w:rFonts w:hint="eastAsia" w:ascii="宋体" w:hAnsi="宋体"/>
        </w:rPr>
        <w:t>，质保期满</w:t>
      </w:r>
      <w:r>
        <w:rPr>
          <w:rFonts w:ascii="宋体" w:hAnsi="宋体"/>
        </w:rPr>
        <w:t>后付清</w:t>
      </w:r>
      <w:r>
        <w:rPr>
          <w:rFonts w:hint="eastAsia" w:ascii="宋体" w:hAnsi="宋体"/>
        </w:rPr>
        <w:t>余款（无息）。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、无效标条款：（1）询价报价超出采购人预算的（预算为</w:t>
      </w:r>
      <w:r>
        <w:rPr>
          <w:rFonts w:ascii="宋体" w:hAnsi="宋体"/>
          <w:u w:val="single"/>
        </w:rPr>
        <w:t>14</w:t>
      </w:r>
      <w:r>
        <w:rPr>
          <w:rFonts w:hint="eastAsia" w:ascii="宋体" w:hAnsi="宋体"/>
        </w:rPr>
        <w:t>万元）；（2）询价报价文件改变询价产品的规格型号及配置的；（3）询价报价单位未按规定提供询价保证金的；（4）</w:t>
      </w:r>
      <w:r>
        <w:rPr>
          <w:rFonts w:hint="eastAsia" w:ascii="宋体" w:hAnsi="宋体"/>
          <w:b/>
        </w:rPr>
        <w:t>询价报价文件内容不全的，未</w:t>
      </w:r>
      <w:r>
        <w:rPr>
          <w:rFonts w:hint="eastAsia" w:ascii="宋体" w:hAnsi="宋体"/>
          <w:b/>
          <w:kern w:val="0"/>
        </w:rPr>
        <w:t>明确品牌和具体型号</w:t>
      </w:r>
      <w:r>
        <w:rPr>
          <w:rFonts w:hint="eastAsia" w:ascii="宋体" w:hAnsi="宋体"/>
        </w:rPr>
        <w:t>；（5）询价报价文件未按规定要求签署、盖章的；（6）询价报价单位递交两份或多份内容不同的询价报价文件，或在一份询价报价文件中对同一品牌同一配置报有两个或多个报价，且未声明哪一个有效的；（7）不符合法律、法规和询价采购文件中规定的其他实质性要求的。</w:t>
      </w:r>
    </w:p>
    <w:p>
      <w:pPr>
        <w:ind w:right="-105" w:rightChars="-50" w:firstLine="420" w:firstLineChars="200"/>
        <w:rPr>
          <w:rFonts w:ascii="宋体" w:hAnsi="宋体"/>
        </w:rPr>
      </w:pP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联系电话：18861961300（0515）89568</w:t>
      </w:r>
      <w:r>
        <w:rPr>
          <w:rFonts w:ascii="宋体" w:hAnsi="宋体"/>
        </w:rPr>
        <w:t>8</w:t>
      </w:r>
      <w:r>
        <w:rPr>
          <w:rFonts w:hint="eastAsia" w:ascii="宋体" w:hAnsi="宋体"/>
        </w:rPr>
        <w:t>06</w:t>
      </w:r>
      <w:r>
        <w:rPr>
          <w:rFonts w:ascii="宋体" w:hAnsi="宋体"/>
        </w:rPr>
        <w:t xml:space="preserve">                            </w:t>
      </w:r>
      <w:r>
        <w:rPr>
          <w:rFonts w:hint="eastAsia" w:ascii="宋体" w:hAnsi="宋体"/>
        </w:rPr>
        <w:t>联系人：周实 王军</w:t>
      </w:r>
      <w:r>
        <w:rPr>
          <w:rFonts w:ascii="宋体" w:hAnsi="宋体"/>
        </w:rPr>
        <w:t xml:space="preserve">         </w:t>
      </w:r>
    </w:p>
    <w:p>
      <w:pPr>
        <w:ind w:right="-105" w:rightChars="-50" w:firstLine="1575" w:firstLineChars="750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13584762128   （0515）89568606                        </w:t>
      </w:r>
    </w:p>
    <w:p>
      <w:pPr>
        <w:ind w:right="-105" w:rightChars="-50" w:firstLine="420" w:firstLineChars="200"/>
        <w:rPr>
          <w:rFonts w:ascii="宋体" w:hAnsi="宋体"/>
        </w:rPr>
      </w:pPr>
      <w:bookmarkStart w:id="0" w:name="_GoBack"/>
      <w:bookmarkEnd w:id="0"/>
    </w:p>
    <w:p>
      <w:pPr>
        <w:wordWrap w:val="0"/>
        <w:ind w:right="-105" w:rightChars="-50" w:firstLine="420" w:firstLineChars="200"/>
        <w:jc w:val="right"/>
        <w:rPr>
          <w:rFonts w:ascii="宋体" w:hAnsi="宋体"/>
        </w:rPr>
      </w:pPr>
    </w:p>
    <w:p>
      <w:pPr>
        <w:ind w:right="-105" w:rightChars="-50" w:firstLine="420" w:firstLineChars="200"/>
        <w:jc w:val="right"/>
        <w:rPr>
          <w:rFonts w:ascii="宋体" w:hAnsi="宋体"/>
        </w:rPr>
      </w:pPr>
    </w:p>
    <w:p>
      <w:pPr>
        <w:ind w:right="-105" w:rightChars="-50" w:firstLine="420" w:firstLineChars="200"/>
        <w:jc w:val="center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采购单位：（盖章）                 </w:t>
      </w:r>
    </w:p>
    <w:p>
      <w:pPr>
        <w:ind w:right="-105" w:rightChars="-50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                 </w:t>
      </w:r>
    </w:p>
    <w:p>
      <w:pPr>
        <w:wordWrap w:val="0"/>
        <w:ind w:right="-105" w:rightChars="-50" w:firstLine="420" w:firstLineChars="200"/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二〇二一年五月二十四日         </w:t>
      </w:r>
    </w:p>
    <w:p>
      <w:pPr>
        <w:spacing w:before="156" w:beforeLines="50"/>
        <w:rPr>
          <w:rFonts w:ascii="宋体" w:hAnsi="宋体"/>
        </w:rPr>
      </w:pPr>
    </w:p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3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fldChar w:fldCharType="begin"/>
    </w:r>
    <w:r>
      <w:instrText xml:space="preserve"> NUMPAGES  \* MERGEFORMAT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540"/>
    <w:rsid w:val="00010CA6"/>
    <w:rsid w:val="00011C37"/>
    <w:rsid w:val="00013630"/>
    <w:rsid w:val="00030104"/>
    <w:rsid w:val="000869B2"/>
    <w:rsid w:val="000949EC"/>
    <w:rsid w:val="000A1D78"/>
    <w:rsid w:val="000A1F37"/>
    <w:rsid w:val="000C22A1"/>
    <w:rsid w:val="000E3256"/>
    <w:rsid w:val="000E646B"/>
    <w:rsid w:val="0011257C"/>
    <w:rsid w:val="0013084A"/>
    <w:rsid w:val="00160F9F"/>
    <w:rsid w:val="00165CE8"/>
    <w:rsid w:val="00172A27"/>
    <w:rsid w:val="00173FAE"/>
    <w:rsid w:val="001921AC"/>
    <w:rsid w:val="00195E3D"/>
    <w:rsid w:val="0019670A"/>
    <w:rsid w:val="001D47F1"/>
    <w:rsid w:val="001F7915"/>
    <w:rsid w:val="00203096"/>
    <w:rsid w:val="00236618"/>
    <w:rsid w:val="002653B5"/>
    <w:rsid w:val="002720E1"/>
    <w:rsid w:val="00272737"/>
    <w:rsid w:val="00272D3B"/>
    <w:rsid w:val="0028198B"/>
    <w:rsid w:val="002B3691"/>
    <w:rsid w:val="002C526B"/>
    <w:rsid w:val="002D306E"/>
    <w:rsid w:val="00307FF0"/>
    <w:rsid w:val="00320C3F"/>
    <w:rsid w:val="00320F68"/>
    <w:rsid w:val="00340A3A"/>
    <w:rsid w:val="003543EC"/>
    <w:rsid w:val="00364270"/>
    <w:rsid w:val="003704E5"/>
    <w:rsid w:val="00372AE1"/>
    <w:rsid w:val="003746C3"/>
    <w:rsid w:val="003A21CC"/>
    <w:rsid w:val="003F5110"/>
    <w:rsid w:val="00412863"/>
    <w:rsid w:val="00442A8A"/>
    <w:rsid w:val="00457716"/>
    <w:rsid w:val="00464BF2"/>
    <w:rsid w:val="0047347F"/>
    <w:rsid w:val="00490A15"/>
    <w:rsid w:val="004A2A05"/>
    <w:rsid w:val="004B1548"/>
    <w:rsid w:val="004D213E"/>
    <w:rsid w:val="004D622C"/>
    <w:rsid w:val="004E23D3"/>
    <w:rsid w:val="004F10D2"/>
    <w:rsid w:val="004F7B49"/>
    <w:rsid w:val="004F7E3B"/>
    <w:rsid w:val="00501253"/>
    <w:rsid w:val="0050217A"/>
    <w:rsid w:val="005103D1"/>
    <w:rsid w:val="0052770B"/>
    <w:rsid w:val="0053158F"/>
    <w:rsid w:val="005D44D6"/>
    <w:rsid w:val="006117CC"/>
    <w:rsid w:val="0062695E"/>
    <w:rsid w:val="00632F9C"/>
    <w:rsid w:val="00637DF5"/>
    <w:rsid w:val="00645631"/>
    <w:rsid w:val="0065655C"/>
    <w:rsid w:val="00697927"/>
    <w:rsid w:val="006B1C96"/>
    <w:rsid w:val="006B3E28"/>
    <w:rsid w:val="006C740C"/>
    <w:rsid w:val="006D2DA3"/>
    <w:rsid w:val="006F2008"/>
    <w:rsid w:val="006F4AD7"/>
    <w:rsid w:val="00746031"/>
    <w:rsid w:val="0075165E"/>
    <w:rsid w:val="007671EC"/>
    <w:rsid w:val="00775F4B"/>
    <w:rsid w:val="00790DBB"/>
    <w:rsid w:val="007C0038"/>
    <w:rsid w:val="007E4590"/>
    <w:rsid w:val="007F0679"/>
    <w:rsid w:val="007F6AC9"/>
    <w:rsid w:val="008252F5"/>
    <w:rsid w:val="00845106"/>
    <w:rsid w:val="00876D12"/>
    <w:rsid w:val="008B2A98"/>
    <w:rsid w:val="008C1128"/>
    <w:rsid w:val="008C4729"/>
    <w:rsid w:val="008D21B8"/>
    <w:rsid w:val="008E500D"/>
    <w:rsid w:val="008E5079"/>
    <w:rsid w:val="008E60C3"/>
    <w:rsid w:val="008F0297"/>
    <w:rsid w:val="008F23EE"/>
    <w:rsid w:val="00914012"/>
    <w:rsid w:val="009337C2"/>
    <w:rsid w:val="00966354"/>
    <w:rsid w:val="00985E5F"/>
    <w:rsid w:val="0099011A"/>
    <w:rsid w:val="009A07AC"/>
    <w:rsid w:val="009B5CCD"/>
    <w:rsid w:val="009D45F5"/>
    <w:rsid w:val="009D59A2"/>
    <w:rsid w:val="009D6733"/>
    <w:rsid w:val="009E17F5"/>
    <w:rsid w:val="00A06E6B"/>
    <w:rsid w:val="00A262B2"/>
    <w:rsid w:val="00A4721A"/>
    <w:rsid w:val="00A47F4C"/>
    <w:rsid w:val="00AA7161"/>
    <w:rsid w:val="00AC1CFC"/>
    <w:rsid w:val="00B02C01"/>
    <w:rsid w:val="00B05F9D"/>
    <w:rsid w:val="00B07973"/>
    <w:rsid w:val="00B56903"/>
    <w:rsid w:val="00B6737E"/>
    <w:rsid w:val="00BB79B0"/>
    <w:rsid w:val="00BD23A1"/>
    <w:rsid w:val="00BE036A"/>
    <w:rsid w:val="00BE355F"/>
    <w:rsid w:val="00BF2B61"/>
    <w:rsid w:val="00C01DBD"/>
    <w:rsid w:val="00C042F1"/>
    <w:rsid w:val="00C1520A"/>
    <w:rsid w:val="00C21498"/>
    <w:rsid w:val="00C218B6"/>
    <w:rsid w:val="00C40217"/>
    <w:rsid w:val="00C47CBB"/>
    <w:rsid w:val="00C53976"/>
    <w:rsid w:val="00C74729"/>
    <w:rsid w:val="00C75987"/>
    <w:rsid w:val="00C77B7A"/>
    <w:rsid w:val="00C801F8"/>
    <w:rsid w:val="00CA66C1"/>
    <w:rsid w:val="00CC0853"/>
    <w:rsid w:val="00CC0F43"/>
    <w:rsid w:val="00CC43B3"/>
    <w:rsid w:val="00CE3A81"/>
    <w:rsid w:val="00CF3B78"/>
    <w:rsid w:val="00D049D3"/>
    <w:rsid w:val="00D16365"/>
    <w:rsid w:val="00D21BB5"/>
    <w:rsid w:val="00D867FB"/>
    <w:rsid w:val="00D95D2B"/>
    <w:rsid w:val="00DA483E"/>
    <w:rsid w:val="00DA5F90"/>
    <w:rsid w:val="00DD14D2"/>
    <w:rsid w:val="00DD3F6F"/>
    <w:rsid w:val="00DD63A7"/>
    <w:rsid w:val="00DE4A3A"/>
    <w:rsid w:val="00DF2279"/>
    <w:rsid w:val="00DF5A7F"/>
    <w:rsid w:val="00E13F41"/>
    <w:rsid w:val="00E3016C"/>
    <w:rsid w:val="00E5460D"/>
    <w:rsid w:val="00E622A2"/>
    <w:rsid w:val="00E62528"/>
    <w:rsid w:val="00E778B3"/>
    <w:rsid w:val="00E77944"/>
    <w:rsid w:val="00EB2930"/>
    <w:rsid w:val="00EC0E58"/>
    <w:rsid w:val="00EE019D"/>
    <w:rsid w:val="00F25D44"/>
    <w:rsid w:val="00F26FF2"/>
    <w:rsid w:val="00F33EDF"/>
    <w:rsid w:val="00F36631"/>
    <w:rsid w:val="00F37240"/>
    <w:rsid w:val="00F507C7"/>
    <w:rsid w:val="00F535DE"/>
    <w:rsid w:val="00F602C4"/>
    <w:rsid w:val="00F63656"/>
    <w:rsid w:val="00F7449C"/>
    <w:rsid w:val="00F848F5"/>
    <w:rsid w:val="00FB7133"/>
    <w:rsid w:val="00FD284E"/>
    <w:rsid w:val="00FE2222"/>
    <w:rsid w:val="00FE5058"/>
    <w:rsid w:val="00FE5B22"/>
    <w:rsid w:val="14D1353D"/>
    <w:rsid w:val="1F2E6850"/>
    <w:rsid w:val="39A26ED8"/>
    <w:rsid w:val="3F6822EF"/>
    <w:rsid w:val="42CE15E4"/>
    <w:rsid w:val="475E3CFC"/>
    <w:rsid w:val="491A53B1"/>
    <w:rsid w:val="57DA0AE7"/>
    <w:rsid w:val="59880BAE"/>
    <w:rsid w:val="71BC7356"/>
    <w:rsid w:val="7C4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uiPriority w:val="0"/>
    <w:pPr>
      <w:jc w:val="left"/>
    </w:p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19"/>
    <w:semiHidden/>
    <w:unhideWhenUsed/>
    <w:uiPriority w:val="0"/>
    <w:rPr>
      <w:b/>
      <w:bCs/>
    </w:rPr>
  </w:style>
  <w:style w:type="character" w:styleId="12">
    <w:name w:val="page number"/>
    <w:basedOn w:val="11"/>
    <w:uiPriority w:val="0"/>
  </w:style>
  <w:style w:type="character" w:styleId="13">
    <w:name w:val="Hyperlink"/>
    <w:unhideWhenUsed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uiPriority w:val="0"/>
    <w:rPr>
      <w:sz w:val="21"/>
      <w:szCs w:val="21"/>
    </w:rPr>
  </w:style>
  <w:style w:type="character" w:customStyle="1" w:styleId="15">
    <w:name w:val="param-name"/>
    <w:basedOn w:val="11"/>
    <w:uiPriority w:val="0"/>
  </w:style>
  <w:style w:type="character" w:customStyle="1" w:styleId="16">
    <w:name w:val="标题 1 字符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3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8">
    <w:name w:val="批注文字 字符"/>
    <w:basedOn w:val="11"/>
    <w:link w:val="4"/>
    <w:semiHidden/>
    <w:uiPriority w:val="0"/>
    <w:rPr>
      <w:kern w:val="2"/>
      <w:sz w:val="21"/>
    </w:rPr>
  </w:style>
  <w:style w:type="character" w:customStyle="1" w:styleId="19">
    <w:name w:val="批注主题 字符"/>
    <w:basedOn w:val="18"/>
    <w:link w:val="9"/>
    <w:semiHidden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425</Words>
  <Characters>2427</Characters>
  <Lines>20</Lines>
  <Paragraphs>5</Paragraphs>
  <TotalTime>47</TotalTime>
  <ScaleCrop>false</ScaleCrop>
  <LinksUpToDate>false</LinksUpToDate>
  <CharactersWithSpaces>2847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2021-05-20T23:01:00Z</dcterms:created>
  <dc:creator>微软用户</dc:creator>
  <cp:lastModifiedBy>鱼不可及</cp:lastModifiedBy>
  <cp:lastPrinted>2017-08-22T08:23:00Z</cp:lastPrinted>
  <dcterms:modified xsi:type="dcterms:W3CDTF">2021-05-25T03:34:41Z</dcterms:modified>
  <dc:title>NO：2008014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FDACBB97B2D5493CBE1C96CA39ACC348</vt:lpwstr>
  </property>
</Properties>
</file>