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jc w:val="right"/>
        <w:rPr>
          <w:b/>
        </w:rPr>
      </w:pPr>
      <w:r>
        <w:rPr>
          <w:b/>
        </w:rPr>
        <w:t>NO：2022</w:t>
      </w:r>
      <w:r>
        <w:rPr>
          <w:rFonts w:hint="eastAsia"/>
          <w:b/>
          <w:color w:val="FF0000"/>
          <w:u w:val="single" w:color="FF0000"/>
        </w:rPr>
        <w:t>00</w:t>
      </w:r>
      <w:r>
        <w:rPr>
          <w:b/>
          <w:color w:val="FF0000"/>
          <w:u w:val="single" w:color="FF0000"/>
        </w:rPr>
        <w:t>3</w:t>
      </w:r>
    </w:p>
    <w:p>
      <w:pPr>
        <w:spacing w:after="156" w:afterLines="50"/>
        <w:jc w:val="center"/>
        <w:rPr>
          <w:rFonts w:ascii="黑体" w:eastAsia="黑体"/>
          <w:b/>
          <w:sz w:val="44"/>
        </w:rPr>
      </w:pPr>
      <w:r>
        <w:rPr>
          <w:rFonts w:hint="eastAsia" w:ascii="黑体" w:eastAsia="黑体"/>
          <w:b/>
          <w:sz w:val="44"/>
        </w:rPr>
        <w:t>询价采购报价单</w:t>
      </w:r>
    </w:p>
    <w:p>
      <w:pPr>
        <w:rPr>
          <w:rFonts w:ascii="宋体" w:hAnsi="宋体"/>
          <w:b/>
        </w:rPr>
      </w:pPr>
      <w:r>
        <w:rPr>
          <w:rFonts w:hint="eastAsia" w:ascii="宋体" w:hAnsi="宋体"/>
          <w:b/>
        </w:rPr>
        <w:t>项目名称：东台市人民检察院网络准入控制系统</w:t>
      </w:r>
    </w:p>
    <w:tbl>
      <w:tblPr>
        <w:tblStyle w:val="10"/>
        <w:tblW w:w="98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4050"/>
        <w:gridCol w:w="645"/>
        <w:gridCol w:w="690"/>
        <w:gridCol w:w="1335"/>
        <w:gridCol w:w="1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16" w:type="dxa"/>
            <w:vAlign w:val="center"/>
          </w:tcPr>
          <w:p>
            <w:pPr>
              <w:widowControl/>
              <w:jc w:val="center"/>
              <w:rPr>
                <w:rFonts w:ascii="宋体" w:hAnsi="宋体"/>
                <w:b/>
                <w:kern w:val="0"/>
              </w:rPr>
            </w:pPr>
            <w:r>
              <w:rPr>
                <w:rFonts w:hint="eastAsia" w:ascii="宋体" w:hAnsi="宋体"/>
                <w:b/>
                <w:kern w:val="0"/>
              </w:rPr>
              <w:t>名  称</w:t>
            </w:r>
          </w:p>
        </w:tc>
        <w:tc>
          <w:tcPr>
            <w:tcW w:w="4050" w:type="dxa"/>
            <w:vAlign w:val="center"/>
          </w:tcPr>
          <w:p>
            <w:pPr>
              <w:widowControl/>
              <w:jc w:val="center"/>
              <w:rPr>
                <w:rFonts w:ascii="宋体" w:hAnsi="宋体"/>
                <w:b/>
                <w:kern w:val="0"/>
              </w:rPr>
            </w:pPr>
            <w:r>
              <w:rPr>
                <w:rFonts w:hint="eastAsia" w:ascii="宋体" w:hAnsi="宋体"/>
                <w:b/>
                <w:kern w:val="0"/>
              </w:rPr>
              <w:t>要求</w:t>
            </w:r>
          </w:p>
        </w:tc>
        <w:tc>
          <w:tcPr>
            <w:tcW w:w="645" w:type="dxa"/>
            <w:vAlign w:val="center"/>
          </w:tcPr>
          <w:p>
            <w:pPr>
              <w:widowControl/>
              <w:jc w:val="center"/>
              <w:rPr>
                <w:rFonts w:ascii="宋体" w:hAnsi="宋体"/>
                <w:b/>
                <w:kern w:val="0"/>
              </w:rPr>
            </w:pPr>
            <w:r>
              <w:rPr>
                <w:rFonts w:hint="eastAsia" w:ascii="宋体" w:hAnsi="宋体"/>
                <w:b/>
                <w:kern w:val="0"/>
              </w:rPr>
              <w:t>单位</w:t>
            </w:r>
          </w:p>
        </w:tc>
        <w:tc>
          <w:tcPr>
            <w:tcW w:w="690" w:type="dxa"/>
            <w:vAlign w:val="center"/>
          </w:tcPr>
          <w:p>
            <w:pPr>
              <w:widowControl/>
              <w:jc w:val="center"/>
              <w:rPr>
                <w:rFonts w:ascii="宋体" w:hAnsi="宋体"/>
                <w:b/>
                <w:kern w:val="0"/>
              </w:rPr>
            </w:pPr>
            <w:r>
              <w:rPr>
                <w:rFonts w:hint="eastAsia" w:ascii="宋体" w:hAnsi="宋体"/>
                <w:b/>
                <w:kern w:val="0"/>
              </w:rPr>
              <w:t>数量</w:t>
            </w:r>
          </w:p>
        </w:tc>
        <w:tc>
          <w:tcPr>
            <w:tcW w:w="1335" w:type="dxa"/>
            <w:vAlign w:val="center"/>
          </w:tcPr>
          <w:p>
            <w:pPr>
              <w:widowControl/>
              <w:jc w:val="center"/>
              <w:rPr>
                <w:rFonts w:ascii="宋体" w:hAnsi="宋体"/>
                <w:b/>
                <w:kern w:val="0"/>
              </w:rPr>
            </w:pPr>
            <w:r>
              <w:rPr>
                <w:rFonts w:hint="eastAsia" w:ascii="宋体" w:hAnsi="宋体"/>
                <w:b/>
                <w:kern w:val="0"/>
              </w:rPr>
              <w:t>单 价</w:t>
            </w:r>
          </w:p>
        </w:tc>
        <w:tc>
          <w:tcPr>
            <w:tcW w:w="1465" w:type="dxa"/>
            <w:vAlign w:val="center"/>
          </w:tcPr>
          <w:p>
            <w:pPr>
              <w:widowControl/>
              <w:jc w:val="center"/>
              <w:rPr>
                <w:rFonts w:ascii="宋体" w:hAnsi="宋体"/>
                <w:b/>
                <w:kern w:val="0"/>
              </w:rPr>
            </w:pPr>
            <w:r>
              <w:rPr>
                <w:rFonts w:hint="eastAsia" w:ascii="宋体" w:hAnsi="宋体"/>
                <w:b/>
                <w:kern w:val="0"/>
              </w:rPr>
              <w:t>报 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16" w:type="dxa"/>
            <w:vAlign w:val="center"/>
          </w:tcPr>
          <w:p>
            <w:pPr>
              <w:rPr>
                <w:rFonts w:ascii="宋体" w:hAnsi="宋体"/>
                <w:b/>
              </w:rPr>
            </w:pPr>
            <w:r>
              <w:rPr>
                <w:rFonts w:hint="eastAsia" w:ascii="宋体" w:hAnsi="宋体"/>
                <w:b/>
              </w:rPr>
              <w:t>网络准入控制系统</w:t>
            </w:r>
          </w:p>
        </w:tc>
        <w:tc>
          <w:tcPr>
            <w:tcW w:w="4050" w:type="dxa"/>
            <w:vAlign w:val="center"/>
          </w:tcPr>
          <w:p>
            <w:pPr>
              <w:widowControl/>
              <w:shd w:val="clear" w:color="auto" w:fill="FFFFFF"/>
              <w:adjustRightInd w:val="0"/>
              <w:snapToGrid w:val="0"/>
              <w:jc w:val="left"/>
              <w:textAlignment w:val="baseline"/>
              <w:rPr>
                <w:rFonts w:cs="微软雅黑" w:asciiTheme="majorEastAsia" w:hAnsiTheme="majorEastAsia" w:eastAsiaTheme="majorEastAsia"/>
                <w:kern w:val="0"/>
                <w:sz w:val="24"/>
                <w:szCs w:val="24"/>
              </w:rPr>
            </w:pPr>
            <w:r>
              <w:rPr>
                <w:rFonts w:hint="eastAsia" w:cs="微软雅黑" w:asciiTheme="majorEastAsia" w:hAnsiTheme="majorEastAsia" w:eastAsiaTheme="majorEastAsia"/>
                <w:kern w:val="0"/>
                <w:sz w:val="24"/>
                <w:szCs w:val="24"/>
              </w:rPr>
              <w:t>1、标准2U机架式结构；</w:t>
            </w:r>
            <w:r>
              <w:rPr>
                <w:rFonts w:hint="eastAsia" w:cs="微软雅黑" w:asciiTheme="majorEastAsia" w:hAnsiTheme="majorEastAsia" w:eastAsiaTheme="majorEastAsia"/>
                <w:color w:val="FF0000"/>
                <w:kern w:val="0"/>
                <w:sz w:val="24"/>
                <w:szCs w:val="24"/>
              </w:rPr>
              <w:t>冗余</w:t>
            </w:r>
            <w:r>
              <w:rPr>
                <w:rFonts w:hint="eastAsia" w:cs="微软雅黑" w:asciiTheme="majorEastAsia" w:hAnsiTheme="majorEastAsia" w:eastAsiaTheme="majorEastAsia"/>
                <w:color w:val="FF0000"/>
                <w:kern w:val="0"/>
                <w:sz w:val="24"/>
                <w:szCs w:val="24"/>
                <w:lang w:val="en-US" w:eastAsia="zh-CN"/>
              </w:rPr>
              <w:t>交流</w:t>
            </w:r>
            <w:r>
              <w:rPr>
                <w:rFonts w:hint="eastAsia" w:cs="微软雅黑" w:asciiTheme="majorEastAsia" w:hAnsiTheme="majorEastAsia" w:eastAsiaTheme="majorEastAsia"/>
                <w:color w:val="FF0000"/>
                <w:kern w:val="0"/>
                <w:sz w:val="24"/>
                <w:szCs w:val="24"/>
              </w:rPr>
              <w:t>电源；</w:t>
            </w:r>
            <w:r>
              <w:rPr>
                <w:rFonts w:hint="eastAsia" w:cs="微软雅黑" w:asciiTheme="majorEastAsia" w:hAnsiTheme="majorEastAsia" w:eastAsiaTheme="majorEastAsia"/>
                <w:color w:val="FF0000"/>
                <w:kern w:val="0"/>
                <w:sz w:val="24"/>
                <w:szCs w:val="24"/>
                <w:lang w:val="en-US" w:eastAsia="zh-CN"/>
              </w:rPr>
              <w:t>国产</w:t>
            </w:r>
            <w:r>
              <w:rPr>
                <w:rFonts w:hint="eastAsia" w:cs="微软雅黑" w:asciiTheme="majorEastAsia" w:hAnsiTheme="majorEastAsia" w:eastAsiaTheme="majorEastAsia"/>
                <w:color w:val="FF0000"/>
                <w:kern w:val="0"/>
                <w:sz w:val="24"/>
                <w:szCs w:val="24"/>
              </w:rPr>
              <w:t>麒麟</w:t>
            </w:r>
            <w:r>
              <w:rPr>
                <w:rFonts w:hint="eastAsia" w:cs="微软雅黑" w:asciiTheme="majorEastAsia" w:hAnsiTheme="majorEastAsia" w:eastAsiaTheme="majorEastAsia"/>
                <w:color w:val="FF0000"/>
                <w:kern w:val="0"/>
                <w:sz w:val="24"/>
                <w:szCs w:val="24"/>
                <w:lang w:val="en-US" w:eastAsia="zh-CN"/>
              </w:rPr>
              <w:t>内核系统</w:t>
            </w:r>
            <w:r>
              <w:rPr>
                <w:rFonts w:hint="eastAsia" w:cs="微软雅黑" w:asciiTheme="majorEastAsia" w:hAnsiTheme="majorEastAsia" w:eastAsiaTheme="majorEastAsia"/>
                <w:color w:val="FF0000"/>
                <w:kern w:val="0"/>
                <w:sz w:val="24"/>
                <w:szCs w:val="24"/>
              </w:rPr>
              <w:t>；搭载国产兆芯</w:t>
            </w:r>
            <w:r>
              <w:rPr>
                <w:rFonts w:hint="eastAsia" w:asciiTheme="minorEastAsia" w:hAnsiTheme="minorEastAsia" w:eastAsiaTheme="minorEastAsia"/>
                <w:color w:val="FF0000"/>
                <w:kern w:val="0"/>
                <w:szCs w:val="21"/>
              </w:rPr>
              <w:t xml:space="preserve">KX-U6780A </w:t>
            </w:r>
            <w:r>
              <w:rPr>
                <w:rFonts w:hint="eastAsia" w:cs="微软雅黑" w:asciiTheme="majorEastAsia" w:hAnsiTheme="majorEastAsia" w:eastAsiaTheme="majorEastAsia"/>
                <w:color w:val="FF0000"/>
                <w:kern w:val="0"/>
                <w:sz w:val="24"/>
                <w:szCs w:val="24"/>
              </w:rPr>
              <w:t>8核处理器，主频≥</w:t>
            </w:r>
            <w:r>
              <w:rPr>
                <w:rFonts w:hint="eastAsia" w:cs="微软雅黑" w:asciiTheme="majorEastAsia" w:hAnsiTheme="majorEastAsia" w:eastAsiaTheme="majorEastAsia"/>
                <w:color w:val="FF0000"/>
                <w:kern w:val="0"/>
                <w:sz w:val="24"/>
                <w:szCs w:val="24"/>
                <w:lang w:val="en-US" w:eastAsia="zh-CN"/>
              </w:rPr>
              <w:t>2</w:t>
            </w:r>
            <w:r>
              <w:rPr>
                <w:rFonts w:hint="eastAsia" w:cs="微软雅黑" w:asciiTheme="majorEastAsia" w:hAnsiTheme="majorEastAsia" w:eastAsiaTheme="majorEastAsia"/>
                <w:color w:val="FF0000"/>
                <w:kern w:val="0"/>
                <w:sz w:val="24"/>
                <w:szCs w:val="24"/>
              </w:rPr>
              <w:t>.</w:t>
            </w:r>
            <w:r>
              <w:rPr>
                <w:rFonts w:hint="eastAsia" w:cs="微软雅黑" w:asciiTheme="majorEastAsia" w:hAnsiTheme="majorEastAsia" w:eastAsiaTheme="majorEastAsia"/>
                <w:color w:val="FF0000"/>
                <w:kern w:val="0"/>
                <w:sz w:val="24"/>
                <w:szCs w:val="24"/>
                <w:lang w:val="en-US" w:eastAsia="zh-CN"/>
              </w:rPr>
              <w:t>7</w:t>
            </w:r>
            <w:r>
              <w:rPr>
                <w:rFonts w:hint="eastAsia" w:cs="微软雅黑" w:asciiTheme="majorEastAsia" w:hAnsiTheme="majorEastAsia" w:eastAsiaTheme="majorEastAsia"/>
                <w:color w:val="FF0000"/>
                <w:kern w:val="0"/>
                <w:sz w:val="24"/>
                <w:szCs w:val="24"/>
              </w:rPr>
              <w:t>GHz； DDR4 内存≥16G</w:t>
            </w:r>
            <w:r>
              <w:rPr>
                <w:rFonts w:hint="eastAsia" w:cs="微软雅黑" w:asciiTheme="majorEastAsia" w:hAnsiTheme="majorEastAsia" w:eastAsiaTheme="majorEastAsia"/>
                <w:color w:val="FF0000"/>
                <w:kern w:val="0"/>
                <w:sz w:val="24"/>
                <w:szCs w:val="24"/>
                <w:lang w:val="en-US" w:eastAsia="zh-CN"/>
              </w:rPr>
              <w:t>*2</w:t>
            </w:r>
            <w:r>
              <w:rPr>
                <w:rFonts w:hint="eastAsia" w:cs="微软雅黑" w:asciiTheme="majorEastAsia" w:hAnsiTheme="majorEastAsia" w:eastAsiaTheme="majorEastAsia"/>
                <w:color w:val="FF0000"/>
                <w:kern w:val="0"/>
                <w:sz w:val="24"/>
                <w:szCs w:val="24"/>
              </w:rPr>
              <w:t>；硬盘1TB 企业级SATA；配置</w:t>
            </w:r>
            <w:r>
              <w:rPr>
                <w:rFonts w:hint="eastAsia" w:cs="微软雅黑" w:asciiTheme="majorEastAsia" w:hAnsiTheme="majorEastAsia" w:eastAsiaTheme="majorEastAsia"/>
                <w:color w:val="FF0000"/>
                <w:kern w:val="0"/>
                <w:sz w:val="24"/>
                <w:szCs w:val="24"/>
                <w:lang w:val="en-US" w:eastAsia="zh-CN"/>
              </w:rPr>
              <w:t>8</w:t>
            </w:r>
            <w:r>
              <w:rPr>
                <w:rFonts w:hint="eastAsia" w:cs="微软雅黑" w:asciiTheme="majorEastAsia" w:hAnsiTheme="majorEastAsia" w:eastAsiaTheme="majorEastAsia"/>
                <w:color w:val="FF0000"/>
                <w:kern w:val="0"/>
                <w:sz w:val="24"/>
                <w:szCs w:val="24"/>
              </w:rPr>
              <w:t>个千兆电口，</w:t>
            </w:r>
            <w:r>
              <w:rPr>
                <w:rFonts w:hint="eastAsia" w:cs="微软雅黑" w:asciiTheme="majorEastAsia" w:hAnsiTheme="majorEastAsia" w:eastAsiaTheme="majorEastAsia"/>
                <w:color w:val="FF0000"/>
                <w:kern w:val="0"/>
                <w:sz w:val="24"/>
                <w:szCs w:val="24"/>
                <w:lang w:eastAsia="zh-CN"/>
              </w:rPr>
              <w:t>（</w:t>
            </w:r>
            <w:r>
              <w:rPr>
                <w:rFonts w:hint="eastAsia" w:cs="微软雅黑" w:asciiTheme="majorEastAsia" w:hAnsiTheme="majorEastAsia" w:eastAsiaTheme="majorEastAsia"/>
                <w:color w:val="FF0000"/>
                <w:kern w:val="0"/>
                <w:sz w:val="24"/>
                <w:szCs w:val="24"/>
              </w:rPr>
              <w:t>预留</w:t>
            </w:r>
            <w:r>
              <w:rPr>
                <w:rFonts w:hint="eastAsia" w:cs="微软雅黑" w:asciiTheme="majorEastAsia" w:hAnsiTheme="majorEastAsia" w:eastAsiaTheme="majorEastAsia"/>
                <w:color w:val="FF0000"/>
                <w:kern w:val="0"/>
                <w:sz w:val="24"/>
                <w:szCs w:val="24"/>
                <w:lang w:val="en-US" w:eastAsia="zh-CN"/>
              </w:rPr>
              <w:t>1</w:t>
            </w:r>
            <w:r>
              <w:rPr>
                <w:rFonts w:hint="eastAsia" w:cs="微软雅黑" w:asciiTheme="majorEastAsia" w:hAnsiTheme="majorEastAsia" w:eastAsiaTheme="majorEastAsia"/>
                <w:color w:val="FF0000"/>
                <w:kern w:val="0"/>
                <w:sz w:val="24"/>
                <w:szCs w:val="24"/>
              </w:rPr>
              <w:t>个标准扩展槽）；每秒事务数（TPS）：≥</w:t>
            </w:r>
            <w:r>
              <w:rPr>
                <w:rFonts w:hint="eastAsia" w:cs="微软雅黑" w:asciiTheme="majorEastAsia" w:hAnsiTheme="majorEastAsia" w:eastAsiaTheme="majorEastAsia"/>
                <w:color w:val="FF0000"/>
                <w:kern w:val="0"/>
                <w:sz w:val="24"/>
                <w:szCs w:val="24"/>
                <w:lang w:val="en-US" w:eastAsia="zh-CN"/>
              </w:rPr>
              <w:t>1</w:t>
            </w:r>
            <w:r>
              <w:rPr>
                <w:rFonts w:hint="eastAsia" w:cs="微软雅黑" w:asciiTheme="majorEastAsia" w:hAnsiTheme="majorEastAsia" w:eastAsiaTheme="majorEastAsia"/>
                <w:color w:val="FF0000"/>
                <w:kern w:val="0"/>
                <w:sz w:val="24"/>
                <w:szCs w:val="24"/>
              </w:rPr>
              <w:t>000（次/秒）；最大吞吐量：≥1.5Gbps；最大并发连接数</w:t>
            </w:r>
            <w:r>
              <w:rPr>
                <w:rFonts w:hint="eastAsia" w:cs="微软雅黑" w:asciiTheme="majorEastAsia" w:hAnsiTheme="majorEastAsia" w:eastAsiaTheme="majorEastAsia"/>
                <w:color w:val="FF0000"/>
                <w:kern w:val="0"/>
                <w:sz w:val="24"/>
                <w:szCs w:val="24"/>
                <w:lang w:val="en-US" w:eastAsia="zh-CN"/>
              </w:rPr>
              <w:t>1</w:t>
            </w:r>
            <w:r>
              <w:rPr>
                <w:rFonts w:hint="eastAsia" w:cs="微软雅黑" w:asciiTheme="majorEastAsia" w:hAnsiTheme="majorEastAsia" w:eastAsiaTheme="majorEastAsia"/>
                <w:color w:val="FF0000"/>
                <w:kern w:val="0"/>
                <w:sz w:val="24"/>
                <w:szCs w:val="24"/>
              </w:rPr>
              <w:t>000（条）；本次提供1</w:t>
            </w:r>
            <w:r>
              <w:rPr>
                <w:rFonts w:hint="eastAsia" w:cs="微软雅黑" w:asciiTheme="majorEastAsia" w:hAnsiTheme="majorEastAsia" w:eastAsiaTheme="majorEastAsia"/>
                <w:color w:val="FF0000"/>
                <w:kern w:val="0"/>
                <w:sz w:val="24"/>
                <w:szCs w:val="24"/>
                <w:lang w:val="en-US" w:eastAsia="zh-CN"/>
              </w:rPr>
              <w:t>1</w:t>
            </w:r>
            <w:r>
              <w:rPr>
                <w:rFonts w:hint="eastAsia" w:cs="微软雅黑" w:asciiTheme="majorEastAsia" w:hAnsiTheme="majorEastAsia" w:eastAsiaTheme="majorEastAsia"/>
                <w:color w:val="FF0000"/>
                <w:kern w:val="0"/>
                <w:sz w:val="24"/>
                <w:szCs w:val="24"/>
              </w:rPr>
              <w:t>0点国产化授权客户端授权</w:t>
            </w:r>
            <w:r>
              <w:rPr>
                <w:rFonts w:hint="eastAsia" w:cs="微软雅黑" w:asciiTheme="majorEastAsia" w:hAnsiTheme="majorEastAsia" w:eastAsiaTheme="majorEastAsia"/>
                <w:kern w:val="0"/>
                <w:sz w:val="24"/>
                <w:szCs w:val="24"/>
              </w:rPr>
              <w:t>；纯旁路接入；支持无客户端接入管理；支持双机热备。</w:t>
            </w:r>
          </w:p>
          <w:p>
            <w:pPr>
              <w:widowControl/>
              <w:shd w:val="clear" w:color="auto" w:fill="FFFFFF"/>
              <w:adjustRightInd w:val="0"/>
              <w:snapToGrid w:val="0"/>
              <w:jc w:val="left"/>
              <w:textAlignment w:val="baseline"/>
              <w:rPr>
                <w:rFonts w:hint="eastAsia" w:cs="微软雅黑" w:asciiTheme="majorEastAsia" w:hAnsiTheme="majorEastAsia" w:eastAsiaTheme="majorEastAsia"/>
                <w:kern w:val="0"/>
                <w:sz w:val="24"/>
                <w:szCs w:val="24"/>
                <w:lang w:eastAsia="zh-CN"/>
              </w:rPr>
            </w:pPr>
            <w:r>
              <w:rPr>
                <w:rFonts w:cs="微软雅黑" w:asciiTheme="majorEastAsia" w:hAnsiTheme="majorEastAsia" w:eastAsiaTheme="majorEastAsia"/>
                <w:kern w:val="0"/>
                <w:sz w:val="24"/>
                <w:szCs w:val="24"/>
              </w:rPr>
              <w:t>2</w:t>
            </w:r>
            <w:r>
              <w:rPr>
                <w:rFonts w:hint="eastAsia" w:cs="微软雅黑" w:asciiTheme="majorEastAsia" w:hAnsiTheme="majorEastAsia" w:eastAsiaTheme="majorEastAsia"/>
                <w:kern w:val="0"/>
                <w:sz w:val="24"/>
                <w:szCs w:val="24"/>
              </w:rPr>
              <w:t>、准入模块（标配）：包含软件使用平台、级联管理平台、网络拓扑发现、边界准入控制、边界设备智能识别、IP地址管理、端口可视化、动态大屏展示等功能；合规检查模块（客户端）：资产统计、软件管理、软件分发、外设管理、外联管理等功能。</w:t>
            </w:r>
            <w:r>
              <w:rPr>
                <w:rFonts w:hint="eastAsia" w:cs="微软雅黑" w:asciiTheme="majorEastAsia" w:hAnsiTheme="majorEastAsia" w:eastAsiaTheme="majorEastAsia"/>
                <w:kern w:val="0"/>
                <w:sz w:val="24"/>
                <w:szCs w:val="24"/>
                <w:lang w:eastAsia="zh-CN"/>
              </w:rPr>
              <w:t>（</w:t>
            </w:r>
            <w:r>
              <w:rPr>
                <w:rFonts w:hint="eastAsia" w:cs="微软雅黑" w:asciiTheme="majorEastAsia" w:hAnsiTheme="majorEastAsia" w:eastAsiaTheme="majorEastAsia"/>
                <w:kern w:val="0"/>
                <w:sz w:val="24"/>
                <w:szCs w:val="24"/>
                <w:lang w:val="en-US" w:eastAsia="zh-CN"/>
              </w:rPr>
              <w:t>具体参数见附表1</w:t>
            </w:r>
            <w:bookmarkStart w:id="0" w:name="_GoBack"/>
            <w:bookmarkEnd w:id="0"/>
            <w:r>
              <w:rPr>
                <w:rFonts w:hint="eastAsia" w:cs="微软雅黑" w:asciiTheme="majorEastAsia" w:hAnsiTheme="majorEastAsia" w:eastAsiaTheme="majorEastAsia"/>
                <w:kern w:val="0"/>
                <w:sz w:val="24"/>
                <w:szCs w:val="24"/>
                <w:lang w:eastAsia="zh-CN"/>
              </w:rPr>
              <w:t>）</w:t>
            </w:r>
          </w:p>
          <w:p>
            <w:pPr>
              <w:widowControl/>
              <w:shd w:val="clear" w:color="auto" w:fill="FFFFFF"/>
              <w:adjustRightInd w:val="0"/>
              <w:snapToGrid w:val="0"/>
              <w:jc w:val="left"/>
              <w:textAlignment w:val="baseline"/>
              <w:rPr>
                <w:rFonts w:hint="eastAsia" w:cs="微软雅黑" w:asciiTheme="majorEastAsia" w:hAnsiTheme="majorEastAsia" w:eastAsiaTheme="majorEastAsia"/>
                <w:kern w:val="0"/>
                <w:sz w:val="24"/>
                <w:szCs w:val="24"/>
              </w:rPr>
            </w:pPr>
            <w:r>
              <w:rPr>
                <w:rFonts w:cs="微软雅黑" w:asciiTheme="majorEastAsia" w:hAnsiTheme="majorEastAsia" w:eastAsiaTheme="majorEastAsia"/>
                <w:kern w:val="0"/>
                <w:sz w:val="24"/>
                <w:szCs w:val="24"/>
              </w:rPr>
              <w:t>3</w:t>
            </w:r>
            <w:r>
              <w:rPr>
                <w:rFonts w:hint="eastAsia" w:cs="微软雅黑" w:asciiTheme="majorEastAsia" w:hAnsiTheme="majorEastAsia" w:eastAsiaTheme="majorEastAsia"/>
                <w:kern w:val="0"/>
                <w:sz w:val="24"/>
                <w:szCs w:val="24"/>
              </w:rPr>
              <w:t>、产品提供3年硬件质保服务，3年免费软件升级服务；</w:t>
            </w:r>
            <w:r>
              <w:rPr>
                <w:rFonts w:hint="eastAsia" w:cs="微软雅黑" w:asciiTheme="majorEastAsia" w:hAnsiTheme="majorEastAsia" w:eastAsiaTheme="majorEastAsia"/>
                <w:kern w:val="0"/>
                <w:sz w:val="24"/>
                <w:szCs w:val="24"/>
              </w:rPr>
              <w:tab/>
            </w:r>
            <w:r>
              <w:rPr>
                <w:rFonts w:hint="eastAsia" w:cs="微软雅黑" w:asciiTheme="majorEastAsia" w:hAnsiTheme="majorEastAsia" w:eastAsiaTheme="majorEastAsia"/>
                <w:kern w:val="0"/>
                <w:sz w:val="24"/>
                <w:szCs w:val="24"/>
              </w:rPr>
              <w:tab/>
            </w:r>
            <w:r>
              <w:rPr>
                <w:rFonts w:hint="eastAsia" w:cs="微软雅黑" w:asciiTheme="majorEastAsia" w:hAnsiTheme="majorEastAsia" w:eastAsiaTheme="majorEastAsia"/>
                <w:kern w:val="0"/>
                <w:sz w:val="24"/>
                <w:szCs w:val="24"/>
              </w:rPr>
              <w:tab/>
            </w:r>
            <w:r>
              <w:rPr>
                <w:rFonts w:hint="eastAsia" w:cs="微软雅黑" w:asciiTheme="majorEastAsia" w:hAnsiTheme="majorEastAsia" w:eastAsiaTheme="majorEastAsia"/>
                <w:kern w:val="0"/>
                <w:sz w:val="24"/>
                <w:szCs w:val="24"/>
              </w:rPr>
              <w:tab/>
            </w:r>
          </w:p>
          <w:p>
            <w:pPr>
              <w:widowControl/>
              <w:shd w:val="clear" w:color="auto" w:fill="FFFFFF"/>
              <w:adjustRightInd w:val="0"/>
              <w:snapToGrid w:val="0"/>
              <w:jc w:val="left"/>
              <w:textAlignment w:val="baseline"/>
              <w:rPr>
                <w:rFonts w:hint="eastAsia" w:cs="微软雅黑" w:asciiTheme="majorEastAsia" w:hAnsiTheme="majorEastAsia" w:eastAsiaTheme="majorEastAsia"/>
                <w:kern w:val="0"/>
                <w:sz w:val="24"/>
                <w:szCs w:val="24"/>
              </w:rPr>
            </w:pPr>
            <w:r>
              <w:rPr>
                <w:rFonts w:cs="微软雅黑" w:asciiTheme="majorEastAsia" w:hAnsiTheme="majorEastAsia" w:eastAsiaTheme="majorEastAsia"/>
                <w:kern w:val="0"/>
                <w:sz w:val="24"/>
                <w:szCs w:val="24"/>
              </w:rPr>
              <w:t>4</w:t>
            </w:r>
            <w:r>
              <w:rPr>
                <w:rFonts w:hint="eastAsia" w:cs="微软雅黑" w:asciiTheme="majorEastAsia" w:hAnsiTheme="majorEastAsia" w:eastAsiaTheme="majorEastAsia"/>
                <w:kern w:val="0"/>
                <w:sz w:val="24"/>
                <w:szCs w:val="24"/>
              </w:rPr>
              <w:t>、免费期后服务费为合同金额的15%/年；软件跨版本或大版本升级，收取合同金额的30%；</w:t>
            </w:r>
            <w:r>
              <w:rPr>
                <w:rFonts w:hint="eastAsia" w:cs="微软雅黑" w:asciiTheme="majorEastAsia" w:hAnsiTheme="majorEastAsia" w:eastAsiaTheme="majorEastAsia"/>
                <w:kern w:val="0"/>
                <w:sz w:val="24"/>
                <w:szCs w:val="24"/>
              </w:rPr>
              <w:tab/>
            </w:r>
            <w:r>
              <w:rPr>
                <w:rFonts w:hint="eastAsia" w:cs="微软雅黑" w:asciiTheme="majorEastAsia" w:hAnsiTheme="majorEastAsia" w:eastAsiaTheme="majorEastAsia"/>
                <w:kern w:val="0"/>
                <w:sz w:val="24"/>
                <w:szCs w:val="24"/>
              </w:rPr>
              <w:tab/>
            </w:r>
            <w:r>
              <w:rPr>
                <w:rFonts w:hint="eastAsia" w:cs="微软雅黑" w:asciiTheme="majorEastAsia" w:hAnsiTheme="majorEastAsia" w:eastAsiaTheme="majorEastAsia"/>
                <w:kern w:val="0"/>
                <w:sz w:val="24"/>
                <w:szCs w:val="24"/>
              </w:rPr>
              <w:tab/>
            </w:r>
          </w:p>
          <w:p>
            <w:pPr>
              <w:widowControl/>
              <w:shd w:val="clear" w:color="auto" w:fill="FFFFFF"/>
              <w:adjustRightInd w:val="0"/>
              <w:snapToGrid w:val="0"/>
              <w:jc w:val="left"/>
              <w:textAlignment w:val="baseline"/>
              <w:rPr>
                <w:rFonts w:hint="eastAsia" w:cs="微软雅黑" w:asciiTheme="majorEastAsia" w:hAnsiTheme="majorEastAsia" w:eastAsiaTheme="majorEastAsia"/>
                <w:kern w:val="0"/>
                <w:sz w:val="24"/>
                <w:szCs w:val="24"/>
              </w:rPr>
            </w:pPr>
            <w:r>
              <w:rPr>
                <w:rFonts w:cs="微软雅黑" w:asciiTheme="majorEastAsia" w:hAnsiTheme="majorEastAsia" w:eastAsiaTheme="majorEastAsia"/>
                <w:kern w:val="0"/>
                <w:sz w:val="24"/>
                <w:szCs w:val="24"/>
              </w:rPr>
              <w:t>5</w:t>
            </w:r>
            <w:r>
              <w:rPr>
                <w:rFonts w:hint="eastAsia" w:cs="微软雅黑" w:asciiTheme="majorEastAsia" w:hAnsiTheme="majorEastAsia" w:eastAsiaTheme="majorEastAsia"/>
                <w:kern w:val="0"/>
                <w:sz w:val="24"/>
                <w:szCs w:val="24"/>
              </w:rPr>
              <w:t>、后期如需要扩充授权，最少20个点起卖，16000元/20授权；</w:t>
            </w:r>
            <w:r>
              <w:rPr>
                <w:rFonts w:hint="eastAsia" w:cs="微软雅黑" w:asciiTheme="majorEastAsia" w:hAnsiTheme="majorEastAsia" w:eastAsiaTheme="majorEastAsia"/>
                <w:kern w:val="0"/>
                <w:sz w:val="24"/>
                <w:szCs w:val="24"/>
              </w:rPr>
              <w:tab/>
            </w:r>
          </w:p>
        </w:tc>
        <w:tc>
          <w:tcPr>
            <w:tcW w:w="645" w:type="dxa"/>
            <w:vAlign w:val="center"/>
          </w:tcPr>
          <w:p>
            <w:pPr>
              <w:rPr>
                <w:rFonts w:eastAsia="仿宋_GB2312"/>
                <w:b/>
                <w:color w:val="000000"/>
              </w:rPr>
            </w:pPr>
            <w:r>
              <w:rPr>
                <w:rFonts w:hint="eastAsia" w:eastAsia="仿宋_GB2312"/>
                <w:b/>
                <w:color w:val="000000"/>
              </w:rPr>
              <w:t>套</w:t>
            </w:r>
          </w:p>
        </w:tc>
        <w:tc>
          <w:tcPr>
            <w:tcW w:w="690" w:type="dxa"/>
            <w:vAlign w:val="center"/>
          </w:tcPr>
          <w:p>
            <w:pPr>
              <w:jc w:val="center"/>
              <w:rPr>
                <w:rFonts w:eastAsia="仿宋_GB2312"/>
                <w:b/>
                <w:color w:val="000000"/>
              </w:rPr>
            </w:pPr>
            <w:r>
              <w:rPr>
                <w:rFonts w:hint="eastAsia" w:eastAsia="仿宋_GB2312"/>
                <w:b/>
                <w:color w:val="000000"/>
              </w:rPr>
              <w:t>1</w:t>
            </w:r>
          </w:p>
        </w:tc>
        <w:tc>
          <w:tcPr>
            <w:tcW w:w="1335" w:type="dxa"/>
            <w:vAlign w:val="center"/>
          </w:tcPr>
          <w:p>
            <w:pPr>
              <w:jc w:val="center"/>
              <w:rPr>
                <w:rFonts w:ascii="仿宋_GB2312" w:eastAsia="仿宋_GB2312"/>
                <w:b/>
                <w:color w:val="000000"/>
              </w:rPr>
            </w:pPr>
          </w:p>
        </w:tc>
        <w:tc>
          <w:tcPr>
            <w:tcW w:w="1465" w:type="dxa"/>
            <w:vAlign w:val="center"/>
          </w:tcPr>
          <w:p>
            <w:pPr>
              <w:jc w:val="center"/>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16" w:type="dxa"/>
            <w:vAlign w:val="center"/>
          </w:tcPr>
          <w:p>
            <w:pPr>
              <w:widowControl/>
              <w:jc w:val="center"/>
              <w:rPr>
                <w:rFonts w:ascii="宋体" w:hAnsi="宋体"/>
                <w:b/>
                <w:kern w:val="0"/>
                <w:sz w:val="24"/>
              </w:rPr>
            </w:pPr>
            <w:r>
              <w:rPr>
                <w:rFonts w:hint="eastAsia" w:ascii="宋体" w:hAnsi="宋体"/>
                <w:b/>
                <w:kern w:val="0"/>
                <w:sz w:val="18"/>
              </w:rPr>
              <w:t>总价（大写：）</w:t>
            </w:r>
          </w:p>
        </w:tc>
        <w:tc>
          <w:tcPr>
            <w:tcW w:w="8185" w:type="dxa"/>
            <w:gridSpan w:val="5"/>
            <w:vAlign w:val="center"/>
          </w:tcPr>
          <w:p>
            <w:pPr>
              <w:widowControl/>
              <w:rPr>
                <w:rFonts w:ascii="Arial" w:hAnsi="Arial"/>
                <w:kern w:val="0"/>
                <w:sz w:val="20"/>
              </w:rPr>
            </w:pPr>
          </w:p>
        </w:tc>
      </w:tr>
    </w:tbl>
    <w:p>
      <w:pPr>
        <w:ind w:right="-105" w:rightChars="-50" w:firstLine="420" w:firstLineChars="200"/>
        <w:rPr>
          <w:rFonts w:ascii="宋体" w:hAnsi="宋体"/>
        </w:rPr>
      </w:pPr>
      <w:r>
        <w:rPr>
          <w:rFonts w:hint="eastAsia" w:ascii="宋体" w:hAnsi="宋体"/>
        </w:rPr>
        <w:t>注：单价、报价及总价中包含运输、安装、调试、售后服务、辅材和税费等全部费用，报价时应逐项填写单价和报价，最后汇总得出总价。</w:t>
      </w:r>
    </w:p>
    <w:p>
      <w:pPr>
        <w:ind w:right="-105" w:rightChars="-50" w:firstLine="442" w:firstLineChars="200"/>
        <w:rPr>
          <w:rFonts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 xml:space="preserve"> </w:t>
      </w:r>
    </w:p>
    <w:p>
      <w:pPr>
        <w:ind w:right="-105" w:rightChars="-50" w:firstLine="420" w:firstLineChars="200"/>
        <w:rPr>
          <w:rFonts w:ascii="宋体" w:hAnsi="宋体"/>
        </w:rPr>
      </w:pPr>
    </w:p>
    <w:p>
      <w:pPr>
        <w:ind w:right="-105" w:rightChars="-50" w:firstLine="420" w:firstLineChars="200"/>
        <w:rPr>
          <w:rFonts w:ascii="宋体" w:hAnsi="宋体"/>
        </w:rPr>
      </w:pPr>
      <w:r>
        <w:rPr>
          <w:rFonts w:hint="eastAsia" w:ascii="宋体" w:hAnsi="宋体"/>
        </w:rPr>
        <w:t>报价单位联系人及电话：</w:t>
      </w:r>
    </w:p>
    <w:p>
      <w:pPr>
        <w:ind w:right="-105" w:rightChars="-50" w:firstLine="420" w:firstLineChars="200"/>
        <w:rPr>
          <w:rFonts w:ascii="宋体" w:hAnsi="宋体"/>
        </w:rPr>
      </w:pPr>
    </w:p>
    <w:p>
      <w:pPr>
        <w:ind w:right="-105" w:rightChars="-50" w:firstLine="420" w:firstLineChars="200"/>
        <w:rPr>
          <w:rFonts w:ascii="宋体" w:hAnsi="宋体"/>
        </w:rPr>
      </w:pPr>
    </w:p>
    <w:p>
      <w:pPr>
        <w:ind w:right="-105" w:rightChars="-50" w:firstLine="420" w:firstLineChars="200"/>
        <w:rPr>
          <w:rFonts w:ascii="宋体" w:hAnsi="宋体"/>
        </w:rPr>
      </w:pPr>
    </w:p>
    <w:p>
      <w:pPr>
        <w:ind w:right="-105" w:rightChars="-50" w:firstLine="420" w:firstLineChars="200"/>
        <w:rPr>
          <w:rFonts w:ascii="宋体" w:hAnsi="宋体"/>
        </w:rPr>
      </w:pPr>
    </w:p>
    <w:p>
      <w:pPr>
        <w:wordWrap w:val="0"/>
        <w:ind w:right="-105" w:rightChars="-50" w:firstLine="420" w:firstLineChars="200"/>
        <w:jc w:val="right"/>
        <w:rPr>
          <w:rFonts w:ascii="宋体" w:hAnsi="宋体"/>
        </w:rPr>
      </w:pPr>
      <w:r>
        <w:rPr>
          <w:rFonts w:hint="eastAsia" w:ascii="宋体" w:hAnsi="宋体"/>
        </w:rPr>
        <w:t xml:space="preserve">报价单位：（盖章）                 </w:t>
      </w:r>
    </w:p>
    <w:p>
      <w:pPr>
        <w:wordWrap w:val="0"/>
        <w:ind w:right="-105" w:rightChars="-50" w:firstLine="420" w:firstLineChars="200"/>
        <w:jc w:val="right"/>
        <w:rPr>
          <w:rFonts w:ascii="宋体" w:hAnsi="宋体"/>
        </w:rPr>
      </w:pPr>
      <w:r>
        <w:rPr>
          <w:rFonts w:hint="eastAsia" w:ascii="宋体" w:hAnsi="宋体"/>
        </w:rPr>
        <w:t xml:space="preserve">                  </w:t>
      </w:r>
    </w:p>
    <w:p>
      <w:pPr>
        <w:wordWrap w:val="0"/>
        <w:ind w:right="-105" w:rightChars="-50" w:firstLine="420" w:firstLineChars="200"/>
        <w:jc w:val="right"/>
        <w:rPr>
          <w:rFonts w:ascii="宋体" w:hAnsi="宋体"/>
        </w:rPr>
      </w:pPr>
      <w:r>
        <w:rPr>
          <w:rFonts w:hint="eastAsia" w:ascii="宋体" w:hAnsi="宋体"/>
        </w:rPr>
        <w:t xml:space="preserve">二〇二二年    月   日     </w:t>
      </w:r>
    </w:p>
    <w:p>
      <w:pPr>
        <w:ind w:right="-105" w:rightChars="-50"/>
        <w:rPr>
          <w:rFonts w:ascii="宋体" w:hAnsi="宋体"/>
          <w:u w:val="dotDash"/>
        </w:rPr>
      </w:pPr>
      <w:r>
        <w:rPr>
          <w:rFonts w:hint="eastAsia" w:ascii="宋体" w:hAnsi="宋体"/>
          <w:u w:val="dotDash"/>
        </w:rPr>
        <w:t xml:space="preserve">                                                                                              </w:t>
      </w:r>
    </w:p>
    <w:p>
      <w:pPr>
        <w:spacing w:before="156" w:beforeLines="50"/>
        <w:rPr>
          <w:rFonts w:ascii="宋体" w:hAnsi="宋体"/>
          <w:b/>
        </w:rPr>
      </w:pPr>
      <w:r>
        <w:rPr>
          <w:rFonts w:hint="eastAsia" w:ascii="宋体" w:hAnsi="宋体"/>
          <w:b/>
        </w:rPr>
        <w:t>询价要求：</w:t>
      </w:r>
    </w:p>
    <w:p>
      <w:pPr>
        <w:numPr>
          <w:ilvl w:val="0"/>
          <w:numId w:val="1"/>
        </w:numPr>
        <w:ind w:right="-105" w:rightChars="-50" w:firstLine="420" w:firstLineChars="200"/>
        <w:rPr>
          <w:rFonts w:ascii="宋体" w:hAnsi="宋体"/>
        </w:rPr>
      </w:pPr>
      <w:r>
        <w:rPr>
          <w:rFonts w:hint="eastAsia" w:ascii="宋体" w:hAnsi="宋体"/>
        </w:rPr>
        <w:t>参加报价的供应商投标时需提供营业执照副本复印件以及文件中需提供的相关证明材料。</w:t>
      </w:r>
    </w:p>
    <w:p>
      <w:pPr>
        <w:numPr>
          <w:ilvl w:val="0"/>
          <w:numId w:val="1"/>
        </w:numPr>
        <w:ind w:right="-105" w:rightChars="-50" w:firstLine="420" w:firstLineChars="200"/>
        <w:rPr>
          <w:rFonts w:ascii="宋体" w:hAnsi="宋体"/>
        </w:rPr>
      </w:pPr>
      <w:r>
        <w:rPr>
          <w:rFonts w:hint="eastAsia" w:ascii="宋体" w:hAnsi="宋体"/>
        </w:rPr>
        <w:t>本文件中带</w:t>
      </w:r>
      <w:r>
        <w:rPr>
          <w:rFonts w:hint="eastAsia" w:ascii="宋体" w:hAnsi="宋体"/>
          <w:color w:val="000000" w:themeColor="text1"/>
          <w:sz w:val="24"/>
          <w14:textFill>
            <w14:solidFill>
              <w14:schemeClr w14:val="tx1"/>
            </w14:solidFill>
          </w14:textFill>
        </w:rPr>
        <w:t>★号为重要参数必须满足，不接受负偏离。</w:t>
      </w:r>
    </w:p>
    <w:p>
      <w:pPr>
        <w:ind w:right="-105" w:rightChars="-50" w:firstLine="420" w:firstLineChars="200"/>
        <w:rPr>
          <w:rFonts w:ascii="宋体" w:hAnsi="宋体"/>
        </w:rPr>
      </w:pPr>
      <w:r>
        <w:rPr>
          <w:rFonts w:hint="eastAsia" w:ascii="宋体" w:hAnsi="宋体"/>
        </w:rPr>
        <w:t>3、</w:t>
      </w:r>
      <w:r>
        <w:rPr>
          <w:rFonts w:hint="eastAsia" w:ascii="宋体" w:hAnsi="宋体"/>
          <w:b/>
        </w:rPr>
        <w:t>本采购文件的合法性、合规性及合理性均由采购人负责</w:t>
      </w:r>
      <w:r>
        <w:rPr>
          <w:rFonts w:hint="eastAsia" w:ascii="宋体" w:hAnsi="宋体"/>
        </w:rPr>
        <w:t>，报价单位如有疑问请于</w:t>
      </w:r>
      <w:r>
        <w:rPr>
          <w:rFonts w:hint="eastAsia" w:ascii="宋体" w:hAnsi="宋体"/>
          <w:u w:val="single"/>
        </w:rPr>
        <w:t xml:space="preserve"> </w:t>
      </w:r>
      <w:r>
        <w:rPr>
          <w:rFonts w:ascii="宋体" w:hAnsi="宋体"/>
          <w:color w:val="FF0000"/>
          <w:u w:val="single"/>
        </w:rPr>
        <w:t>7</w:t>
      </w:r>
      <w:r>
        <w:rPr>
          <w:rFonts w:hint="eastAsia" w:ascii="宋体" w:hAnsi="宋体"/>
          <w:color w:val="FF0000"/>
          <w:u w:val="single"/>
        </w:rPr>
        <w:t xml:space="preserve"> </w:t>
      </w:r>
      <w:r>
        <w:rPr>
          <w:rFonts w:hint="eastAsia" w:ascii="宋体" w:hAnsi="宋体"/>
          <w:color w:val="FF0000"/>
        </w:rPr>
        <w:t>月</w:t>
      </w:r>
      <w:r>
        <w:rPr>
          <w:rFonts w:ascii="宋体" w:hAnsi="宋体"/>
          <w:color w:val="FF0000"/>
          <w:u w:val="single"/>
        </w:rPr>
        <w:t xml:space="preserve"> 21</w:t>
      </w:r>
      <w:r>
        <w:rPr>
          <w:rFonts w:hint="eastAsia" w:ascii="宋体" w:hAnsi="宋体"/>
        </w:rPr>
        <w:t>日10时前书面提出，采购人于</w:t>
      </w:r>
      <w:r>
        <w:rPr>
          <w:rFonts w:ascii="宋体" w:hAnsi="宋体"/>
          <w:color w:val="FF0000"/>
          <w:u w:val="single"/>
        </w:rPr>
        <w:t>7</w:t>
      </w:r>
      <w:r>
        <w:rPr>
          <w:rFonts w:hint="eastAsia" w:ascii="宋体" w:hAnsi="宋体"/>
          <w:color w:val="FF0000"/>
        </w:rPr>
        <w:t>月</w:t>
      </w:r>
      <w:r>
        <w:rPr>
          <w:rFonts w:hint="eastAsia" w:ascii="宋体" w:hAnsi="宋体"/>
          <w:color w:val="FF0000"/>
          <w:u w:val="single"/>
        </w:rPr>
        <w:t xml:space="preserve">  </w:t>
      </w:r>
      <w:r>
        <w:rPr>
          <w:rFonts w:ascii="宋体" w:hAnsi="宋体"/>
          <w:color w:val="FF0000"/>
          <w:u w:val="single"/>
        </w:rPr>
        <w:t>21</w:t>
      </w:r>
      <w:r>
        <w:rPr>
          <w:rFonts w:hint="eastAsia" w:ascii="宋体" w:hAnsi="宋体"/>
          <w:color w:val="FF0000"/>
          <w:u w:val="single"/>
        </w:rPr>
        <w:t xml:space="preserve"> </w:t>
      </w:r>
      <w:r>
        <w:rPr>
          <w:rFonts w:hint="eastAsia" w:ascii="宋体" w:hAnsi="宋体"/>
        </w:rPr>
        <w:t>日18时前予以答复。</w:t>
      </w:r>
    </w:p>
    <w:p>
      <w:pPr>
        <w:ind w:right="-105" w:rightChars="-50" w:firstLine="420" w:firstLineChars="200"/>
        <w:rPr>
          <w:rFonts w:ascii="宋体" w:hAnsi="宋体"/>
        </w:rPr>
      </w:pPr>
      <w:r>
        <w:rPr>
          <w:rFonts w:hint="eastAsia" w:ascii="宋体" w:hAnsi="宋体"/>
        </w:rPr>
        <w:t>4、报价单填写内容字迹必须工整，产品型号及配置要求和报价均不得修改。</w:t>
      </w:r>
    </w:p>
    <w:p>
      <w:pPr>
        <w:ind w:firstLine="422" w:firstLineChars="200"/>
        <w:rPr>
          <w:rFonts w:ascii="宋体" w:hAnsi="宋体"/>
          <w:b/>
          <w:bCs/>
        </w:rPr>
      </w:pPr>
      <w:r>
        <w:rPr>
          <w:rFonts w:hint="eastAsia" w:ascii="宋体" w:hAnsi="宋体"/>
          <w:b/>
          <w:bCs/>
        </w:rPr>
        <w:t xml:space="preserve">5、询价保证金 </w:t>
      </w:r>
      <w:r>
        <w:rPr>
          <w:rFonts w:ascii="宋体" w:hAnsi="宋体"/>
          <w:b/>
          <w:bCs/>
        </w:rPr>
        <w:t xml:space="preserve"> 0</w:t>
      </w:r>
      <w:r>
        <w:rPr>
          <w:rFonts w:hint="eastAsia" w:ascii="宋体" w:hAnsi="宋体"/>
          <w:b/>
          <w:bCs/>
        </w:rPr>
        <w:t xml:space="preserve"> 元，使用现金方式现场缴纳。</w:t>
      </w:r>
    </w:p>
    <w:p>
      <w:pPr>
        <w:ind w:right="-105" w:rightChars="-50" w:firstLine="420" w:firstLineChars="200"/>
        <w:rPr>
          <w:rFonts w:ascii="宋体" w:hAnsi="宋体"/>
        </w:rPr>
      </w:pPr>
      <w:r>
        <w:rPr>
          <w:rFonts w:hint="eastAsia" w:ascii="宋体" w:hAnsi="宋体"/>
        </w:rPr>
        <w:t>6、参加询价采购的供应商应仔细阅读理解采购单位的询价文件要求，对所投产品负责，一旦成为成交供应商必须及时按照询价文件要求签订合同，否则询价保证金不予退还并按有关规定处理。</w:t>
      </w:r>
    </w:p>
    <w:p>
      <w:pPr>
        <w:ind w:right="-105" w:rightChars="-50" w:firstLine="420" w:firstLineChars="200"/>
        <w:rPr>
          <w:rFonts w:ascii="宋体" w:hAnsi="宋体"/>
        </w:rPr>
      </w:pPr>
      <w:r>
        <w:rPr>
          <w:rFonts w:hint="eastAsia" w:ascii="宋体" w:hAnsi="宋体"/>
        </w:rPr>
        <w:t>7、询价报价文件的组成及份数：（1）营业执照副本复印件；（2）询价采购报价单；（3）与询价有关的其他资料。询价报价文件正本一份，副本一份，与询价保证金（银行汇票）一并密封。</w:t>
      </w:r>
    </w:p>
    <w:p>
      <w:pPr>
        <w:ind w:right="-105" w:rightChars="-50" w:firstLine="420" w:firstLineChars="200"/>
        <w:rPr>
          <w:rFonts w:ascii="宋体" w:hAnsi="宋体"/>
        </w:rPr>
      </w:pPr>
      <w:r>
        <w:rPr>
          <w:rFonts w:hint="eastAsia" w:ascii="宋体" w:hAnsi="宋体"/>
        </w:rPr>
        <w:t>8、询价报价文件的递交：询价报价文件应密封，在密封袋上注明</w:t>
      </w:r>
      <w:r>
        <w:rPr>
          <w:rFonts w:hint="eastAsia" w:ascii="宋体" w:hAnsi="宋体"/>
          <w:b/>
        </w:rPr>
        <w:t>报价单位、所报项目名称、询价单编号及联系人姓名和联系号码</w:t>
      </w:r>
      <w:r>
        <w:rPr>
          <w:rFonts w:hint="eastAsia" w:ascii="宋体" w:hAnsi="宋体"/>
        </w:rPr>
        <w:t>，并于</w:t>
      </w:r>
      <w:r>
        <w:rPr>
          <w:rFonts w:ascii="宋体" w:hAnsi="宋体"/>
          <w:color w:val="FF0000"/>
          <w:u w:val="single"/>
        </w:rPr>
        <w:t>7</w:t>
      </w:r>
      <w:r>
        <w:rPr>
          <w:rFonts w:hint="eastAsia" w:ascii="宋体" w:hAnsi="宋体"/>
          <w:color w:val="FF0000"/>
          <w:u w:val="single"/>
        </w:rPr>
        <w:t xml:space="preserve"> </w:t>
      </w:r>
      <w:r>
        <w:rPr>
          <w:rFonts w:hint="eastAsia" w:ascii="宋体" w:hAnsi="宋体"/>
          <w:color w:val="FF0000"/>
        </w:rPr>
        <w:t>月</w:t>
      </w:r>
      <w:r>
        <w:rPr>
          <w:rFonts w:hint="eastAsia" w:ascii="宋体" w:hAnsi="宋体"/>
          <w:color w:val="FF0000"/>
          <w:u w:val="single"/>
        </w:rPr>
        <w:t xml:space="preserve"> </w:t>
      </w:r>
      <w:r>
        <w:rPr>
          <w:rFonts w:ascii="宋体" w:hAnsi="宋体"/>
          <w:color w:val="FF0000"/>
          <w:u w:val="single"/>
        </w:rPr>
        <w:t>22</w:t>
      </w:r>
      <w:r>
        <w:rPr>
          <w:rFonts w:hint="eastAsia" w:ascii="宋体" w:hAnsi="宋体"/>
          <w:u w:val="single"/>
        </w:rPr>
        <w:t xml:space="preserve"> </w:t>
      </w:r>
      <w:r>
        <w:rPr>
          <w:rFonts w:hint="eastAsia" w:ascii="宋体" w:hAnsi="宋体"/>
        </w:rPr>
        <w:t>日</w:t>
      </w:r>
      <w:r>
        <w:rPr>
          <w:rFonts w:hint="eastAsia" w:ascii="宋体" w:hAnsi="宋体"/>
          <w:u w:val="single"/>
        </w:rPr>
        <w:t xml:space="preserve"> </w:t>
      </w:r>
      <w:r>
        <w:rPr>
          <w:rFonts w:ascii="宋体" w:hAnsi="宋体"/>
          <w:u w:val="single"/>
        </w:rPr>
        <w:t xml:space="preserve"> 15</w:t>
      </w:r>
      <w:r>
        <w:rPr>
          <w:rFonts w:hint="eastAsia" w:ascii="宋体" w:hAnsi="宋体"/>
          <w:u w:val="single"/>
        </w:rPr>
        <w:t xml:space="preserve"> </w:t>
      </w:r>
      <w:r>
        <w:rPr>
          <w:rFonts w:hint="eastAsia" w:ascii="宋体" w:hAnsi="宋体"/>
        </w:rPr>
        <w:t>时</w:t>
      </w:r>
      <w:r>
        <w:rPr>
          <w:rFonts w:ascii="宋体" w:hAnsi="宋体"/>
        </w:rPr>
        <w:t>00</w:t>
      </w:r>
      <w:r>
        <w:rPr>
          <w:rFonts w:hint="eastAsia" w:ascii="宋体" w:hAnsi="宋体"/>
        </w:rPr>
        <w:t>分前送达东台市人民检察院(东台市北海路6号）。</w:t>
      </w:r>
    </w:p>
    <w:p>
      <w:pPr>
        <w:ind w:right="-105" w:rightChars="-50" w:firstLine="420" w:firstLineChars="200"/>
        <w:rPr>
          <w:rFonts w:ascii="宋体" w:hAnsi="宋体"/>
        </w:rPr>
      </w:pPr>
      <w:r>
        <w:rPr>
          <w:rFonts w:hint="eastAsia" w:ascii="宋体" w:hAnsi="宋体"/>
        </w:rPr>
        <w:t>9、采购单位于</w:t>
      </w:r>
      <w:r>
        <w:rPr>
          <w:rFonts w:hint="eastAsia" w:ascii="宋体" w:hAnsi="宋体"/>
          <w:u w:val="single"/>
        </w:rPr>
        <w:t xml:space="preserve"> </w:t>
      </w:r>
      <w:r>
        <w:rPr>
          <w:rFonts w:hint="eastAsia" w:ascii="宋体" w:hAnsi="宋体"/>
          <w:color w:val="FF0000"/>
          <w:u w:val="single"/>
        </w:rPr>
        <w:t xml:space="preserve"> </w:t>
      </w:r>
      <w:r>
        <w:rPr>
          <w:rFonts w:ascii="宋体" w:hAnsi="宋体"/>
          <w:color w:val="FF0000"/>
          <w:u w:val="single"/>
        </w:rPr>
        <w:t>7</w:t>
      </w:r>
      <w:r>
        <w:rPr>
          <w:rFonts w:hint="eastAsia" w:ascii="宋体" w:hAnsi="宋体"/>
          <w:color w:val="FF0000"/>
          <w:u w:val="single"/>
        </w:rPr>
        <w:t xml:space="preserve"> </w:t>
      </w:r>
      <w:r>
        <w:rPr>
          <w:rFonts w:hint="eastAsia" w:ascii="宋体" w:hAnsi="宋体"/>
          <w:color w:val="FF0000"/>
        </w:rPr>
        <w:t>月</w:t>
      </w:r>
      <w:r>
        <w:rPr>
          <w:rFonts w:hint="eastAsia" w:ascii="宋体" w:hAnsi="宋体"/>
          <w:color w:val="FF0000"/>
          <w:u w:val="single"/>
        </w:rPr>
        <w:t xml:space="preserve"> </w:t>
      </w:r>
      <w:r>
        <w:rPr>
          <w:rFonts w:ascii="宋体" w:hAnsi="宋体"/>
          <w:color w:val="FF0000"/>
          <w:u w:val="single"/>
        </w:rPr>
        <w:t>22</w:t>
      </w:r>
      <w:r>
        <w:rPr>
          <w:rFonts w:hint="eastAsia" w:ascii="宋体" w:hAnsi="宋体"/>
          <w:color w:val="FF0000"/>
          <w:u w:val="single"/>
        </w:rPr>
        <w:t xml:space="preserve"> </w:t>
      </w:r>
      <w:r>
        <w:rPr>
          <w:rFonts w:hint="eastAsia" w:ascii="宋体" w:hAnsi="宋体"/>
        </w:rPr>
        <w:t>日</w:t>
      </w:r>
      <w:r>
        <w:rPr>
          <w:rFonts w:hint="eastAsia" w:ascii="宋体" w:hAnsi="宋体"/>
          <w:u w:val="single"/>
        </w:rPr>
        <w:t xml:space="preserve"> </w:t>
      </w:r>
      <w:r>
        <w:rPr>
          <w:rFonts w:ascii="宋体" w:hAnsi="宋体"/>
          <w:u w:val="single"/>
        </w:rPr>
        <w:t>15</w:t>
      </w:r>
      <w:r>
        <w:rPr>
          <w:rFonts w:hint="eastAsia" w:ascii="宋体" w:hAnsi="宋体"/>
        </w:rPr>
        <w:t>时</w:t>
      </w:r>
      <w:r>
        <w:rPr>
          <w:rFonts w:ascii="宋体" w:hAnsi="宋体"/>
        </w:rPr>
        <w:t>0</w:t>
      </w:r>
      <w:r>
        <w:rPr>
          <w:rFonts w:hint="eastAsia" w:ascii="宋体" w:hAnsi="宋体"/>
        </w:rPr>
        <w:t>0分后开拆询价报价文件，按照符合采购需求、质量和服务相等且报价最低的原则确定成交供应商，对报价计算错误的按财政部第18号令的原则进行修正，并将询价结果进行公示。</w:t>
      </w:r>
    </w:p>
    <w:p>
      <w:pPr>
        <w:ind w:right="-105" w:rightChars="-50" w:firstLine="420" w:firstLineChars="200"/>
        <w:rPr>
          <w:rFonts w:ascii="宋体" w:hAnsi="宋体"/>
        </w:rPr>
      </w:pPr>
      <w:r>
        <w:rPr>
          <w:rFonts w:hint="eastAsia" w:ascii="宋体" w:hAnsi="宋体"/>
        </w:rPr>
        <w:t>10、成交结果公示后，成交供应商须在3个工作日内与采购单位签定合同。并在合同签订</w:t>
      </w:r>
      <w:r>
        <w:rPr>
          <w:rFonts w:ascii="宋体" w:hAnsi="宋体"/>
          <w:u w:val="single"/>
        </w:rPr>
        <w:t>15</w:t>
      </w:r>
      <w:r>
        <w:rPr>
          <w:rFonts w:hint="eastAsia" w:ascii="宋体" w:hAnsi="宋体"/>
          <w:u w:val="single"/>
        </w:rPr>
        <w:t xml:space="preserve"> </w:t>
      </w:r>
      <w:r>
        <w:rPr>
          <w:rFonts w:hint="eastAsia" w:ascii="宋体" w:hAnsi="宋体"/>
        </w:rPr>
        <w:t>日内供货并安装调试完毕。合同（一式四份）应及时送东台市财政局（东台市市政府四楼）备案（合同样式可从中心网下载园地获取）。</w:t>
      </w:r>
    </w:p>
    <w:p>
      <w:pPr>
        <w:ind w:right="-105" w:rightChars="-50" w:firstLine="420" w:firstLineChars="200"/>
        <w:rPr>
          <w:rFonts w:ascii="宋体" w:hAnsi="宋体"/>
        </w:rPr>
      </w:pPr>
      <w:r>
        <w:rPr>
          <w:rFonts w:hint="eastAsia" w:ascii="宋体" w:hAnsi="宋体"/>
        </w:rPr>
        <w:t>11、付款方式：全部安装调试完毕，经验收合格后付合同价的</w:t>
      </w:r>
      <w:r>
        <w:rPr>
          <w:rFonts w:hint="eastAsia" w:ascii="宋体" w:hAnsi="宋体"/>
          <w:u w:val="single"/>
        </w:rPr>
        <w:t xml:space="preserve"> </w:t>
      </w:r>
      <w:r>
        <w:rPr>
          <w:rFonts w:ascii="宋体" w:hAnsi="宋体"/>
          <w:u w:val="single"/>
        </w:rPr>
        <w:t>100</w:t>
      </w:r>
      <w:r>
        <w:rPr>
          <w:rFonts w:hint="eastAsia" w:ascii="宋体" w:hAnsi="宋体"/>
          <w:u w:val="single"/>
        </w:rPr>
        <w:t>%</w:t>
      </w:r>
      <w:r>
        <w:rPr>
          <w:rFonts w:hint="eastAsia" w:ascii="宋体" w:hAnsi="宋体"/>
        </w:rPr>
        <w:t>。</w:t>
      </w:r>
    </w:p>
    <w:p>
      <w:pPr>
        <w:ind w:right="-105" w:rightChars="-50" w:firstLine="420" w:firstLineChars="200"/>
        <w:rPr>
          <w:rFonts w:ascii="宋体" w:hAnsi="宋体"/>
        </w:rPr>
      </w:pPr>
      <w:r>
        <w:rPr>
          <w:rFonts w:hint="eastAsia" w:ascii="宋体" w:hAnsi="宋体"/>
        </w:rPr>
        <w:t>12、</w:t>
      </w:r>
      <w:r>
        <w:rPr>
          <w:rFonts w:ascii="宋体" w:hAnsi="宋体"/>
        </w:rPr>
        <w:t>本项目质保期为</w:t>
      </w:r>
      <w:r>
        <w:rPr>
          <w:rFonts w:hint="eastAsia" w:ascii="宋体" w:hAnsi="宋体"/>
        </w:rPr>
        <w:t>三</w:t>
      </w:r>
      <w:r>
        <w:rPr>
          <w:rFonts w:ascii="宋体" w:hAnsi="宋体"/>
        </w:rPr>
        <w:t>年，</w:t>
      </w:r>
      <w:r>
        <w:rPr>
          <w:rFonts w:hint="eastAsia" w:ascii="宋体" w:hAnsi="宋体"/>
        </w:rPr>
        <w:t>时间</w:t>
      </w:r>
      <w:r>
        <w:rPr>
          <w:rFonts w:ascii="宋体" w:hAnsi="宋体"/>
        </w:rPr>
        <w:t>从验收合格</w:t>
      </w:r>
      <w:r>
        <w:rPr>
          <w:rFonts w:hint="eastAsia" w:ascii="宋体" w:hAnsi="宋体"/>
        </w:rPr>
        <w:t>之日</w:t>
      </w:r>
      <w:r>
        <w:rPr>
          <w:rFonts w:ascii="宋体" w:hAnsi="宋体"/>
        </w:rPr>
        <w:t>起</w:t>
      </w:r>
      <w:r>
        <w:rPr>
          <w:rFonts w:hint="eastAsia" w:ascii="宋体" w:hAnsi="宋体"/>
        </w:rPr>
        <w:t>计算</w:t>
      </w:r>
      <w:r>
        <w:rPr>
          <w:rFonts w:ascii="宋体" w:hAnsi="宋体"/>
        </w:rPr>
        <w:t>。</w:t>
      </w:r>
    </w:p>
    <w:p>
      <w:pPr>
        <w:ind w:right="-105" w:rightChars="-50" w:firstLine="420" w:firstLineChars="200"/>
        <w:rPr>
          <w:rFonts w:ascii="宋体" w:hAnsi="宋体"/>
        </w:rPr>
      </w:pPr>
      <w:r>
        <w:rPr>
          <w:rFonts w:hint="eastAsia" w:ascii="宋体" w:hAnsi="宋体"/>
        </w:rPr>
        <w:t>13、无效标条款：（1）询价报价超出采购人预算的（预算为</w:t>
      </w:r>
      <w:r>
        <w:rPr>
          <w:rFonts w:ascii="宋体" w:hAnsi="宋体"/>
          <w:u w:val="single"/>
        </w:rPr>
        <w:t>10</w:t>
      </w:r>
      <w:r>
        <w:rPr>
          <w:rFonts w:hint="eastAsia" w:ascii="宋体" w:hAnsi="宋体"/>
        </w:rPr>
        <w:t>万元）；（2）询价报价文件改变询价产品的规格型号及配置的；（3）询价报价单位未按规定提供询价保证金的；（4）</w:t>
      </w:r>
      <w:r>
        <w:rPr>
          <w:rFonts w:hint="eastAsia" w:ascii="宋体" w:hAnsi="宋体"/>
          <w:b/>
        </w:rPr>
        <w:t>询价报价文件内容不全的，未</w:t>
      </w:r>
      <w:r>
        <w:rPr>
          <w:rFonts w:hint="eastAsia" w:ascii="宋体" w:hAnsi="宋体"/>
          <w:b/>
          <w:kern w:val="0"/>
        </w:rPr>
        <w:t>明确品牌和具体型号</w:t>
      </w:r>
      <w:r>
        <w:rPr>
          <w:rFonts w:hint="eastAsia" w:ascii="宋体" w:hAnsi="宋体"/>
        </w:rPr>
        <w:t>；（5）询价报价文件未按规定要求签署、盖章的；（6）询价报价单位递交两份或多份内容不同的询价报价文件，或在一份询价报价文件中对同一品牌同一配置报有两个或多个报价，且未声明哪一个有效的；（7）不符合法律、法规和询价采购文件中规定的其他实质性要求的。</w:t>
      </w:r>
    </w:p>
    <w:p>
      <w:pPr>
        <w:ind w:right="-105" w:rightChars="-50" w:firstLine="420" w:firstLineChars="200"/>
        <w:rPr>
          <w:rFonts w:ascii="宋体" w:hAnsi="宋体"/>
        </w:rPr>
      </w:pPr>
    </w:p>
    <w:p>
      <w:pPr>
        <w:ind w:right="-105" w:rightChars="-50" w:firstLine="420" w:firstLineChars="200"/>
        <w:rPr>
          <w:rFonts w:ascii="宋体" w:hAnsi="宋体"/>
        </w:rPr>
      </w:pPr>
      <w:r>
        <w:rPr>
          <w:rFonts w:hint="eastAsia" w:ascii="宋体" w:hAnsi="宋体"/>
        </w:rPr>
        <w:t>联系电话：18861961300（0515）89568</w:t>
      </w:r>
      <w:r>
        <w:rPr>
          <w:rFonts w:ascii="宋体" w:hAnsi="宋体"/>
        </w:rPr>
        <w:t>8</w:t>
      </w:r>
      <w:r>
        <w:rPr>
          <w:rFonts w:hint="eastAsia" w:ascii="宋体" w:hAnsi="宋体"/>
        </w:rPr>
        <w:t>06</w:t>
      </w:r>
      <w:r>
        <w:rPr>
          <w:rFonts w:ascii="宋体" w:hAnsi="宋体"/>
        </w:rPr>
        <w:t xml:space="preserve">                            </w:t>
      </w:r>
      <w:r>
        <w:rPr>
          <w:rFonts w:hint="eastAsia" w:ascii="宋体" w:hAnsi="宋体"/>
        </w:rPr>
        <w:t>联系人：周实 王军</w:t>
      </w:r>
      <w:r>
        <w:rPr>
          <w:rFonts w:ascii="宋体" w:hAnsi="宋体"/>
        </w:rPr>
        <w:t xml:space="preserve">         </w:t>
      </w:r>
    </w:p>
    <w:p>
      <w:pPr>
        <w:ind w:right="-105" w:rightChars="-50" w:firstLine="1575" w:firstLineChars="750"/>
        <w:rPr>
          <w:rFonts w:ascii="宋体" w:hAnsi="宋体"/>
          <w:u w:val="single"/>
        </w:rPr>
      </w:pPr>
      <w:r>
        <w:rPr>
          <w:rFonts w:hint="eastAsia" w:ascii="宋体" w:hAnsi="宋体"/>
        </w:rPr>
        <w:t xml:space="preserve">13584762128   （0515）89568606                        </w:t>
      </w:r>
    </w:p>
    <w:p>
      <w:pPr>
        <w:ind w:right="-105" w:rightChars="-50" w:firstLine="420" w:firstLineChars="200"/>
        <w:rPr>
          <w:rFonts w:ascii="宋体" w:hAnsi="宋体"/>
        </w:rPr>
      </w:pPr>
    </w:p>
    <w:p>
      <w:pPr>
        <w:wordWrap w:val="0"/>
        <w:ind w:right="-105" w:rightChars="-50" w:firstLine="420" w:firstLineChars="200"/>
        <w:jc w:val="right"/>
        <w:rPr>
          <w:rFonts w:ascii="宋体" w:hAnsi="宋体"/>
        </w:rPr>
      </w:pPr>
    </w:p>
    <w:p>
      <w:pPr>
        <w:ind w:right="-105" w:rightChars="-50" w:firstLine="420" w:firstLineChars="200"/>
        <w:jc w:val="right"/>
        <w:rPr>
          <w:rFonts w:ascii="宋体" w:hAnsi="宋体"/>
        </w:rPr>
      </w:pPr>
    </w:p>
    <w:p>
      <w:pPr>
        <w:ind w:right="-105" w:rightChars="-50" w:firstLine="420" w:firstLineChars="200"/>
        <w:jc w:val="right"/>
        <w:rPr>
          <w:rFonts w:ascii="宋体" w:hAnsi="宋体"/>
        </w:rPr>
      </w:pPr>
    </w:p>
    <w:p>
      <w:pPr>
        <w:ind w:right="-105" w:rightChars="-50" w:firstLine="420" w:firstLineChars="200"/>
        <w:jc w:val="right"/>
        <w:rPr>
          <w:rFonts w:ascii="宋体" w:hAnsi="宋体"/>
        </w:rPr>
      </w:pPr>
    </w:p>
    <w:p>
      <w:pPr>
        <w:ind w:right="-105" w:rightChars="-50" w:firstLine="420" w:firstLineChars="200"/>
        <w:jc w:val="center"/>
        <w:rPr>
          <w:rFonts w:ascii="宋体" w:hAnsi="宋体"/>
        </w:rPr>
      </w:pPr>
      <w:r>
        <w:rPr>
          <w:rFonts w:hint="eastAsia" w:ascii="宋体" w:hAnsi="宋体"/>
        </w:rPr>
        <w:t xml:space="preserve">                                               采购单位：（盖章）                 </w:t>
      </w:r>
    </w:p>
    <w:p>
      <w:pPr>
        <w:ind w:right="-105" w:rightChars="-50" w:firstLine="420" w:firstLineChars="200"/>
        <w:rPr>
          <w:rFonts w:ascii="宋体" w:hAnsi="宋体"/>
        </w:rPr>
      </w:pPr>
      <w:r>
        <w:rPr>
          <w:rFonts w:hint="eastAsia" w:ascii="宋体" w:hAnsi="宋体"/>
        </w:rPr>
        <w:t xml:space="preserve">                  </w:t>
      </w:r>
    </w:p>
    <w:p>
      <w:pPr>
        <w:wordWrap w:val="0"/>
        <w:ind w:right="-105" w:rightChars="-50" w:firstLine="420" w:firstLineChars="200"/>
        <w:jc w:val="right"/>
        <w:rPr>
          <w:rFonts w:ascii="宋体" w:hAnsi="宋体"/>
        </w:rPr>
      </w:pPr>
      <w:r>
        <w:rPr>
          <w:rFonts w:hint="eastAsia" w:ascii="宋体" w:hAnsi="宋体"/>
        </w:rPr>
        <w:t xml:space="preserve">二〇二二年七月十九日         </w:t>
      </w:r>
    </w:p>
    <w:p>
      <w:pPr>
        <w:spacing w:before="156" w:beforeLines="50"/>
        <w:rPr>
          <w:rFonts w:ascii="宋体" w:hAnsi="宋体"/>
        </w:rPr>
      </w:pPr>
    </w:p>
    <w:p>
      <w:pPr>
        <w:spacing w:before="156" w:beforeLines="50"/>
        <w:rPr>
          <w:rFonts w:ascii="宋体" w:hAnsi="宋体"/>
        </w:rPr>
      </w:pPr>
    </w:p>
    <w:p>
      <w:pPr>
        <w:spacing w:before="156" w:beforeLines="50"/>
        <w:rPr>
          <w:rFonts w:ascii="宋体" w:hAnsi="宋体"/>
        </w:rPr>
      </w:pPr>
    </w:p>
    <w:p>
      <w:pPr>
        <w:spacing w:before="156" w:beforeLines="50"/>
        <w:rPr>
          <w:rFonts w:ascii="宋体" w:hAnsi="宋体"/>
        </w:rPr>
      </w:pPr>
    </w:p>
    <w:p>
      <w:pPr>
        <w:spacing w:before="156" w:beforeLines="50"/>
        <w:rPr>
          <w:rFonts w:ascii="宋体" w:hAnsi="宋体"/>
        </w:rPr>
      </w:pPr>
    </w:p>
    <w:p>
      <w:pPr>
        <w:spacing w:before="156" w:beforeLines="50"/>
        <w:rPr>
          <w:rFonts w:hint="default" w:ascii="宋体" w:hAnsi="宋体" w:eastAsia="宋体"/>
          <w:lang w:val="en-US" w:eastAsia="zh-CN"/>
        </w:rPr>
      </w:pPr>
      <w:r>
        <w:rPr>
          <w:rFonts w:hint="eastAsia" w:ascii="宋体" w:hAnsi="宋体"/>
          <w:lang w:val="en-US" w:eastAsia="zh-CN"/>
        </w:rPr>
        <w:t>附表1：准入设备要求具体功能，需要全部满足，有不满足的需要写清楚理由，我司根据实际情况看是否接受投标人解释。</w:t>
      </w:r>
    </w:p>
    <w:tbl>
      <w:tblPr>
        <w:tblStyle w:val="10"/>
        <w:tblW w:w="48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236"/>
        <w:gridCol w:w="6365"/>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67" w:type="pct"/>
            <w:shd w:val="clear" w:color="auto" w:fill="BFBFBF"/>
            <w:vAlign w:val="center"/>
          </w:tcPr>
          <w:p>
            <w:pPr>
              <w:widowControl/>
              <w:spacing w:before="46" w:beforeLines="15" w:after="46" w:afterLines="15" w:line="360" w:lineRule="auto"/>
              <w:jc w:val="center"/>
              <w:rPr>
                <w:rFonts w:asciiTheme="minorEastAsia" w:hAnsiTheme="minorEastAsia" w:eastAsiaTheme="minorEastAsia"/>
                <w:b/>
                <w:szCs w:val="21"/>
              </w:rPr>
            </w:pPr>
            <w:r>
              <w:rPr>
                <w:rFonts w:asciiTheme="minorEastAsia" w:hAnsiTheme="minorEastAsia" w:eastAsiaTheme="minorEastAsia"/>
                <w:b/>
                <w:szCs w:val="21"/>
              </w:rPr>
              <w:t>序号</w:t>
            </w:r>
          </w:p>
        </w:tc>
        <w:tc>
          <w:tcPr>
            <w:tcW w:w="650" w:type="pct"/>
            <w:shd w:val="clear" w:color="auto" w:fill="BFBFBF"/>
            <w:vAlign w:val="center"/>
          </w:tcPr>
          <w:p>
            <w:pPr>
              <w:widowControl/>
              <w:spacing w:before="46" w:beforeLines="15" w:after="46" w:afterLines="15" w:line="360" w:lineRule="auto"/>
              <w:jc w:val="center"/>
              <w:rPr>
                <w:rFonts w:asciiTheme="minorEastAsia" w:hAnsiTheme="minorEastAsia" w:eastAsiaTheme="minorEastAsia"/>
                <w:b/>
                <w:szCs w:val="21"/>
              </w:rPr>
            </w:pPr>
            <w:r>
              <w:rPr>
                <w:rFonts w:asciiTheme="minorEastAsia" w:hAnsiTheme="minorEastAsia" w:eastAsiaTheme="minorEastAsia"/>
                <w:b/>
                <w:szCs w:val="21"/>
              </w:rPr>
              <w:t>指标项</w:t>
            </w:r>
          </w:p>
        </w:tc>
        <w:tc>
          <w:tcPr>
            <w:tcW w:w="3347" w:type="pct"/>
            <w:shd w:val="clear" w:color="auto" w:fill="BFBFBF"/>
            <w:vAlign w:val="center"/>
          </w:tcPr>
          <w:p>
            <w:pPr>
              <w:widowControl/>
              <w:spacing w:before="46" w:beforeLines="15" w:after="46" w:afterLines="15" w:line="360" w:lineRule="auto"/>
              <w:jc w:val="center"/>
              <w:rPr>
                <w:rFonts w:asciiTheme="minorEastAsia" w:hAnsiTheme="minorEastAsia" w:eastAsiaTheme="minorEastAsia"/>
                <w:b/>
                <w:szCs w:val="21"/>
              </w:rPr>
            </w:pPr>
            <w:r>
              <w:rPr>
                <w:rFonts w:asciiTheme="minorEastAsia" w:hAnsiTheme="minorEastAsia" w:eastAsiaTheme="minorEastAsia"/>
                <w:b/>
                <w:szCs w:val="21"/>
              </w:rPr>
              <w:t>指标要求</w:t>
            </w:r>
          </w:p>
        </w:tc>
        <w:tc>
          <w:tcPr>
            <w:tcW w:w="635" w:type="pct"/>
            <w:shd w:val="clear" w:color="auto" w:fill="BFBFBF"/>
            <w:vAlign w:val="center"/>
          </w:tcPr>
          <w:p>
            <w:pPr>
              <w:widowControl/>
              <w:spacing w:before="46" w:beforeLines="15" w:after="46" w:afterLines="15" w:line="360" w:lineRule="auto"/>
              <w:jc w:val="center"/>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7" w:type="pct"/>
            <w:vAlign w:val="center"/>
          </w:tcPr>
          <w:p>
            <w:pPr>
              <w:pStyle w:val="24"/>
              <w:widowControl/>
              <w:numPr>
                <w:ilvl w:val="0"/>
                <w:numId w:val="2"/>
              </w:numPr>
              <w:ind w:firstLineChars="0"/>
              <w:jc w:val="center"/>
              <w:rPr>
                <w:bCs/>
              </w:rPr>
            </w:pPr>
          </w:p>
        </w:tc>
        <w:tc>
          <w:tcPr>
            <w:tcW w:w="650" w:type="pct"/>
            <w:vMerge w:val="restart"/>
            <w:shd w:val="clear" w:color="auto" w:fill="auto"/>
            <w:vAlign w:val="center"/>
          </w:tcPr>
          <w:p>
            <w:pPr>
              <w:widowControl/>
              <w:spacing w:line="360" w:lineRule="auto"/>
              <w:jc w:val="center"/>
              <w:rPr>
                <w:rFonts w:asciiTheme="minorEastAsia" w:hAnsiTheme="minorEastAsia" w:eastAsiaTheme="minorEastAsia"/>
                <w:bCs/>
                <w:kern w:val="0"/>
                <w:szCs w:val="21"/>
              </w:rPr>
            </w:pPr>
            <w:r>
              <w:rPr>
                <w:rFonts w:asciiTheme="minorEastAsia" w:hAnsiTheme="minorEastAsia" w:eastAsiaTheme="minorEastAsia"/>
                <w:bCs/>
                <w:kern w:val="0"/>
                <w:szCs w:val="21"/>
              </w:rPr>
              <w:t>准入技术</w:t>
            </w: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t>支持多种准入控制技术（至少包括802.1X、DHCP、ARP、SNMP等），单套系统须支持多种准入技术并行启用。禁止通过修改交换机端口VLAN ID、策略路由与镜像抓包功能实现准入控制，以防造成交换机负载过高，影响正常终端的网络通信与数据交换；不安装客户端代理，实现HUB和非网管交换机环境下非法终端与合法终端的通信隔离与阻断。</w:t>
            </w:r>
          </w:p>
        </w:tc>
        <w:tc>
          <w:tcPr>
            <w:tcW w:w="635" w:type="pct"/>
            <w:vAlign w:val="center"/>
          </w:tcPr>
          <w:p>
            <w:pPr>
              <w:widowControl/>
              <w:spacing w:line="360" w:lineRule="auto"/>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7" w:type="pct"/>
            <w:vAlign w:val="center"/>
          </w:tcPr>
          <w:p>
            <w:pPr>
              <w:pStyle w:val="24"/>
              <w:widowControl/>
              <w:numPr>
                <w:ilvl w:val="0"/>
                <w:numId w:val="2"/>
              </w:numPr>
              <w:ind w:firstLineChars="0"/>
              <w:jc w:val="center"/>
              <w:rPr>
                <w:bCs/>
              </w:rPr>
            </w:pPr>
          </w:p>
        </w:tc>
        <w:tc>
          <w:tcPr>
            <w:tcW w:w="650" w:type="pct"/>
            <w:vMerge w:val="continue"/>
            <w:shd w:val="clear" w:color="auto" w:fill="auto"/>
            <w:vAlign w:val="center"/>
          </w:tcPr>
          <w:p>
            <w:pPr>
              <w:widowControl/>
              <w:spacing w:line="360" w:lineRule="auto"/>
              <w:jc w:val="center"/>
              <w:rPr>
                <w:rFonts w:asciiTheme="minorEastAsia" w:hAnsiTheme="minorEastAsia" w:eastAsiaTheme="minorEastAsia"/>
                <w:bCs/>
                <w:kern w:val="0"/>
                <w:szCs w:val="21"/>
              </w:rPr>
            </w:pP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t>准入系统必须支持虚拟子网+</w:t>
            </w:r>
            <w:r>
              <w:rPr>
                <w:rFonts w:hint="eastAsia" w:asciiTheme="minorEastAsia" w:hAnsiTheme="minorEastAsia" w:eastAsiaTheme="minorEastAsia"/>
                <w:kern w:val="0"/>
                <w:szCs w:val="21"/>
                <w:lang w:val="en-US" w:eastAsia="zh-CN"/>
              </w:rPr>
              <w:t>N</w:t>
            </w:r>
            <w:r>
              <w:rPr>
                <w:rFonts w:asciiTheme="minorEastAsia" w:hAnsiTheme="minorEastAsia" w:eastAsiaTheme="minorEastAsia"/>
                <w:kern w:val="0"/>
                <w:szCs w:val="21"/>
              </w:rPr>
              <w:t>NAT技术，针对任一办公子网均产生对应的虚拟子网，产生虚拟子网无需在交换机新建VLAN ID，无需在交换机配置虚拟子网网段。任何设备、终端接入网络首先获取虚拟IP，设备、终端通过虚拟IP进行终端注册、用户认证、桌面基线检查。认证及检查成功后获取办公子网的IP地址。终端在受限的网络访问时，通过准入服务器的</w:t>
            </w:r>
            <w:r>
              <w:rPr>
                <w:rFonts w:hint="eastAsia" w:asciiTheme="minorEastAsia" w:hAnsiTheme="minorEastAsia" w:eastAsiaTheme="minorEastAsia"/>
                <w:kern w:val="0"/>
                <w:szCs w:val="21"/>
                <w:lang w:val="en-US" w:eastAsia="zh-CN"/>
              </w:rPr>
              <w:t>N</w:t>
            </w:r>
            <w:r>
              <w:rPr>
                <w:rFonts w:asciiTheme="minorEastAsia" w:hAnsiTheme="minorEastAsia" w:eastAsiaTheme="minorEastAsia"/>
                <w:kern w:val="0"/>
                <w:szCs w:val="21"/>
              </w:rPr>
              <w:t>NAT技术，确保该终端所有的网络访问均需以</w:t>
            </w:r>
            <w:r>
              <w:rPr>
                <w:rFonts w:hint="eastAsia" w:asciiTheme="minorEastAsia" w:hAnsiTheme="minorEastAsia" w:eastAsiaTheme="minorEastAsia"/>
                <w:kern w:val="0"/>
                <w:szCs w:val="21"/>
                <w:lang w:val="en-US" w:eastAsia="zh-CN"/>
              </w:rPr>
              <w:t>N</w:t>
            </w:r>
            <w:r>
              <w:rPr>
                <w:rFonts w:asciiTheme="minorEastAsia" w:hAnsiTheme="minorEastAsia" w:eastAsiaTheme="minorEastAsia"/>
                <w:kern w:val="0"/>
                <w:szCs w:val="21"/>
              </w:rPr>
              <w:t>NAT方式进行，不能暴露终端的虚拟IP。【须提供功能截图证明】</w:t>
            </w:r>
          </w:p>
        </w:tc>
        <w:tc>
          <w:tcPr>
            <w:tcW w:w="635" w:type="pct"/>
            <w:vAlign w:val="center"/>
          </w:tcPr>
          <w:p>
            <w:pPr>
              <w:widowControl/>
              <w:spacing w:line="360" w:lineRule="auto"/>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7" w:type="pct"/>
            <w:vAlign w:val="center"/>
          </w:tcPr>
          <w:p>
            <w:pPr>
              <w:pStyle w:val="24"/>
              <w:widowControl/>
              <w:numPr>
                <w:ilvl w:val="0"/>
                <w:numId w:val="2"/>
              </w:numPr>
              <w:ind w:firstLineChars="0"/>
              <w:jc w:val="center"/>
              <w:rPr>
                <w:bCs/>
              </w:rPr>
            </w:pPr>
          </w:p>
        </w:tc>
        <w:tc>
          <w:tcPr>
            <w:tcW w:w="650" w:type="pct"/>
            <w:vMerge w:val="restart"/>
            <w:shd w:val="clear" w:color="auto" w:fill="auto"/>
            <w:vAlign w:val="center"/>
          </w:tcPr>
          <w:p>
            <w:pPr>
              <w:widowControl/>
              <w:spacing w:line="360" w:lineRule="auto"/>
              <w:jc w:val="center"/>
              <w:rPr>
                <w:rFonts w:asciiTheme="minorEastAsia" w:hAnsiTheme="minorEastAsia" w:eastAsiaTheme="minorEastAsia"/>
                <w:bCs/>
                <w:kern w:val="0"/>
                <w:szCs w:val="21"/>
              </w:rPr>
            </w:pPr>
            <w:r>
              <w:rPr>
                <w:rFonts w:asciiTheme="minorEastAsia" w:hAnsiTheme="minorEastAsia" w:eastAsiaTheme="minorEastAsia"/>
                <w:bCs/>
                <w:kern w:val="0"/>
                <w:szCs w:val="21"/>
              </w:rPr>
              <w:t>终端注册</w:t>
            </w: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支</w:t>
            </w:r>
            <w:r>
              <w:rPr>
                <w:rFonts w:asciiTheme="minorEastAsia" w:hAnsiTheme="minorEastAsia" w:eastAsiaTheme="minorEastAsia"/>
                <w:kern w:val="0"/>
                <w:szCs w:val="21"/>
              </w:rPr>
              <w:t>持管理员自定义注册内容，包括注册项、前后顺序、标题、提示语句、是否必填等，对于关键注册项，如用户名、部门等支持选择模式和输入模式切换，以上配置需支持基于vlan子网区分配置。【须提供功能截图证明】</w:t>
            </w:r>
          </w:p>
        </w:tc>
        <w:tc>
          <w:tcPr>
            <w:tcW w:w="635" w:type="pct"/>
            <w:vAlign w:val="center"/>
          </w:tcPr>
          <w:p>
            <w:pPr>
              <w:widowControl/>
              <w:spacing w:line="360" w:lineRule="auto"/>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7" w:type="pct"/>
            <w:vAlign w:val="center"/>
          </w:tcPr>
          <w:p>
            <w:pPr>
              <w:pStyle w:val="24"/>
              <w:widowControl/>
              <w:numPr>
                <w:ilvl w:val="0"/>
                <w:numId w:val="2"/>
              </w:numPr>
              <w:ind w:firstLineChars="0"/>
              <w:jc w:val="center"/>
              <w:rPr>
                <w:bCs/>
              </w:rPr>
            </w:pPr>
          </w:p>
        </w:tc>
        <w:tc>
          <w:tcPr>
            <w:tcW w:w="650" w:type="pct"/>
            <w:vMerge w:val="continue"/>
            <w:shd w:val="clear" w:color="auto" w:fill="auto"/>
            <w:vAlign w:val="center"/>
          </w:tcPr>
          <w:p>
            <w:pPr>
              <w:widowControl/>
              <w:spacing w:line="360" w:lineRule="auto"/>
              <w:jc w:val="center"/>
              <w:rPr>
                <w:rFonts w:asciiTheme="minorEastAsia" w:hAnsiTheme="minorEastAsia" w:eastAsiaTheme="minorEastAsia"/>
                <w:bCs/>
                <w:kern w:val="0"/>
                <w:szCs w:val="21"/>
              </w:rPr>
            </w:pP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t>支持新入网终端强制收看培训视频的功能，支持页面、准入客户端播放视频，可基于部门和时间来设置播放策略，不同部门不同时间来播放不同的培训视频。【须提供功能截图证明】</w:t>
            </w:r>
          </w:p>
        </w:tc>
        <w:tc>
          <w:tcPr>
            <w:tcW w:w="635" w:type="pct"/>
            <w:vAlign w:val="center"/>
          </w:tcPr>
          <w:p>
            <w:pPr>
              <w:widowControl/>
              <w:spacing w:line="360" w:lineRule="auto"/>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7" w:type="pct"/>
            <w:vAlign w:val="center"/>
          </w:tcPr>
          <w:p>
            <w:pPr>
              <w:pStyle w:val="24"/>
              <w:widowControl/>
              <w:numPr>
                <w:ilvl w:val="0"/>
                <w:numId w:val="2"/>
              </w:numPr>
              <w:ind w:firstLineChars="0"/>
              <w:jc w:val="center"/>
              <w:rPr>
                <w:bCs/>
              </w:rPr>
            </w:pPr>
          </w:p>
        </w:tc>
        <w:tc>
          <w:tcPr>
            <w:tcW w:w="650" w:type="pct"/>
            <w:shd w:val="clear" w:color="auto" w:fill="auto"/>
            <w:vAlign w:val="center"/>
          </w:tcPr>
          <w:p>
            <w:pPr>
              <w:widowControl/>
              <w:spacing w:line="360" w:lineRule="auto"/>
              <w:jc w:val="center"/>
              <w:rPr>
                <w:rFonts w:asciiTheme="minorEastAsia" w:hAnsiTheme="minorEastAsia" w:eastAsiaTheme="minorEastAsia"/>
                <w:bCs/>
                <w:kern w:val="0"/>
                <w:szCs w:val="21"/>
              </w:rPr>
            </w:pPr>
            <w:r>
              <w:rPr>
                <w:rFonts w:asciiTheme="minorEastAsia" w:hAnsiTheme="minorEastAsia" w:eastAsiaTheme="minorEastAsia"/>
                <w:bCs/>
                <w:kern w:val="0"/>
                <w:szCs w:val="21"/>
              </w:rPr>
              <w:t>用户认证</w:t>
            </w: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t>支持通过多种认证方式入网。至少包括用户名密码认证、MAC地址认证、手机验证码登录、图形密码认证登录，支持与外部认证平台联动，如：企业微信、AD/LDAP、Radius服务器等。【须提供功能截图证明】</w:t>
            </w:r>
          </w:p>
        </w:tc>
        <w:tc>
          <w:tcPr>
            <w:tcW w:w="635" w:type="pct"/>
            <w:vAlign w:val="center"/>
          </w:tcPr>
          <w:p>
            <w:pPr>
              <w:widowControl/>
              <w:spacing w:line="360" w:lineRule="auto"/>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7" w:type="pct"/>
            <w:vAlign w:val="center"/>
          </w:tcPr>
          <w:p>
            <w:pPr>
              <w:pStyle w:val="24"/>
              <w:widowControl/>
              <w:numPr>
                <w:ilvl w:val="0"/>
                <w:numId w:val="2"/>
              </w:numPr>
              <w:ind w:firstLineChars="0"/>
              <w:jc w:val="center"/>
              <w:rPr>
                <w:bCs/>
              </w:rPr>
            </w:pPr>
          </w:p>
        </w:tc>
        <w:tc>
          <w:tcPr>
            <w:tcW w:w="650" w:type="pct"/>
            <w:shd w:val="clear" w:color="auto" w:fill="auto"/>
            <w:vAlign w:val="center"/>
          </w:tcPr>
          <w:p>
            <w:pPr>
              <w:widowControl/>
              <w:spacing w:line="360" w:lineRule="auto"/>
              <w:jc w:val="center"/>
              <w:rPr>
                <w:rFonts w:asciiTheme="minorEastAsia" w:hAnsiTheme="minorEastAsia" w:eastAsiaTheme="minorEastAsia"/>
                <w:bCs/>
                <w:kern w:val="0"/>
                <w:szCs w:val="21"/>
              </w:rPr>
            </w:pPr>
            <w:r>
              <w:rPr>
                <w:rFonts w:asciiTheme="minorEastAsia" w:hAnsiTheme="minorEastAsia" w:eastAsiaTheme="minorEastAsia"/>
                <w:bCs/>
                <w:kern w:val="0"/>
                <w:szCs w:val="21"/>
              </w:rPr>
              <w:t>仿冒检查</w:t>
            </w: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t>支持在不安装客户端或插件的情况下，进行MAC地址仿冒（MAC克隆）检查。支持IP地址、MAC地址、TCP监听端口、交换机接入端口同时仿冒情况下违规行为的发现和阻断。</w:t>
            </w:r>
          </w:p>
        </w:tc>
        <w:tc>
          <w:tcPr>
            <w:tcW w:w="635" w:type="pct"/>
            <w:vAlign w:val="center"/>
          </w:tcPr>
          <w:p>
            <w:pPr>
              <w:widowControl/>
              <w:spacing w:line="360" w:lineRule="auto"/>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367" w:type="pct"/>
            <w:vAlign w:val="center"/>
          </w:tcPr>
          <w:p>
            <w:pPr>
              <w:pStyle w:val="24"/>
              <w:widowControl/>
              <w:numPr>
                <w:ilvl w:val="0"/>
                <w:numId w:val="2"/>
              </w:numPr>
              <w:ind w:firstLineChars="0"/>
              <w:jc w:val="center"/>
              <w:rPr>
                <w:bCs/>
              </w:rPr>
            </w:pPr>
          </w:p>
        </w:tc>
        <w:tc>
          <w:tcPr>
            <w:tcW w:w="650" w:type="pct"/>
            <w:vMerge w:val="restart"/>
            <w:shd w:val="clear" w:color="auto" w:fill="auto"/>
            <w:vAlign w:val="center"/>
          </w:tcPr>
          <w:p>
            <w:pPr>
              <w:widowControl/>
              <w:spacing w:line="360" w:lineRule="auto"/>
              <w:jc w:val="center"/>
              <w:rPr>
                <w:rFonts w:asciiTheme="minorEastAsia" w:hAnsiTheme="minorEastAsia" w:eastAsiaTheme="minorEastAsia"/>
                <w:bCs/>
                <w:kern w:val="0"/>
                <w:szCs w:val="21"/>
              </w:rPr>
            </w:pPr>
            <w:r>
              <w:rPr>
                <w:rFonts w:asciiTheme="minorEastAsia" w:hAnsiTheme="minorEastAsia" w:eastAsiaTheme="minorEastAsia"/>
                <w:bCs/>
                <w:kern w:val="0"/>
                <w:szCs w:val="21"/>
              </w:rPr>
              <w:t>主机规范</w:t>
            </w: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t>支持在同一策略规范中分别对windows操作系统和国产化操作系统自定义设置规范检查内容，至少包括：主机CPU/内存/硬盘变动检查、网卡检查、操作系统版本检查、软件/进程/服务/文件/注册表/TCP端口/UDP端口检查、病毒库及版本版本、违规外联以及其他主机全策略检查；对于各项检查出现违规的情况，支持设置允许入网、允许入网并告警、禁止入网。</w:t>
            </w:r>
          </w:p>
        </w:tc>
        <w:tc>
          <w:tcPr>
            <w:tcW w:w="635" w:type="pct"/>
            <w:vAlign w:val="center"/>
          </w:tcPr>
          <w:p>
            <w:pPr>
              <w:widowControl/>
              <w:spacing w:line="360" w:lineRule="auto"/>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7" w:type="pct"/>
            <w:vAlign w:val="center"/>
          </w:tcPr>
          <w:p>
            <w:pPr>
              <w:pStyle w:val="24"/>
              <w:widowControl/>
              <w:numPr>
                <w:ilvl w:val="0"/>
                <w:numId w:val="2"/>
              </w:numPr>
              <w:ind w:firstLineChars="0"/>
              <w:jc w:val="center"/>
              <w:rPr>
                <w:bCs/>
              </w:rPr>
            </w:pPr>
          </w:p>
        </w:tc>
        <w:tc>
          <w:tcPr>
            <w:tcW w:w="650" w:type="pct"/>
            <w:vMerge w:val="continue"/>
            <w:shd w:val="clear" w:color="auto" w:fill="auto"/>
            <w:vAlign w:val="center"/>
          </w:tcPr>
          <w:p>
            <w:pPr>
              <w:widowControl/>
              <w:spacing w:line="360" w:lineRule="auto"/>
              <w:jc w:val="center"/>
              <w:rPr>
                <w:rFonts w:asciiTheme="minorEastAsia" w:hAnsiTheme="minorEastAsia" w:eastAsiaTheme="minorEastAsia"/>
                <w:bCs/>
                <w:kern w:val="0"/>
                <w:szCs w:val="21"/>
              </w:rPr>
            </w:pP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t>入网策略支持基于终端的部门/终端类型/操作系统/设备标签/vlan标签/指定VLAN配置不同的准入策略，各条件之间可支持与、或关系进行自定义组合，管理员可查看符合每条准入策略的终端。</w:t>
            </w:r>
          </w:p>
        </w:tc>
        <w:tc>
          <w:tcPr>
            <w:tcW w:w="635" w:type="pct"/>
            <w:vAlign w:val="center"/>
          </w:tcPr>
          <w:p>
            <w:pPr>
              <w:widowControl/>
              <w:spacing w:line="360" w:lineRule="auto"/>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7" w:type="pct"/>
            <w:vAlign w:val="center"/>
          </w:tcPr>
          <w:p>
            <w:pPr>
              <w:pStyle w:val="24"/>
              <w:widowControl/>
              <w:numPr>
                <w:ilvl w:val="0"/>
                <w:numId w:val="2"/>
              </w:numPr>
              <w:ind w:firstLineChars="0"/>
              <w:jc w:val="center"/>
              <w:rPr>
                <w:bCs/>
              </w:rPr>
            </w:pPr>
          </w:p>
        </w:tc>
        <w:tc>
          <w:tcPr>
            <w:tcW w:w="650" w:type="pct"/>
            <w:vMerge w:val="restart"/>
            <w:shd w:val="clear" w:color="auto" w:fill="auto"/>
            <w:vAlign w:val="center"/>
          </w:tcPr>
          <w:p>
            <w:pPr>
              <w:widowControl/>
              <w:spacing w:line="360" w:lineRule="auto"/>
              <w:jc w:val="center"/>
              <w:rPr>
                <w:rFonts w:asciiTheme="minorEastAsia" w:hAnsiTheme="minorEastAsia" w:eastAsiaTheme="minorEastAsia"/>
                <w:bCs/>
                <w:kern w:val="0"/>
                <w:szCs w:val="21"/>
              </w:rPr>
            </w:pPr>
            <w:r>
              <w:rPr>
                <w:rFonts w:asciiTheme="minorEastAsia" w:hAnsiTheme="minorEastAsia" w:eastAsiaTheme="minorEastAsia"/>
                <w:bCs/>
                <w:kern w:val="0"/>
                <w:szCs w:val="21"/>
              </w:rPr>
              <w:t>网络管理</w:t>
            </w: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t>支持自动生成网络拓扑，拓扑支持编辑模式和查看模式，查看模式不可修改拓扑关系，编辑模式下可手动修改拓扑连接关系。支持分组框选并拖动位置，可水平/垂直对齐拓扑摆放位置，支持保存和恢复拓扑图快照功能。</w:t>
            </w:r>
          </w:p>
        </w:tc>
        <w:tc>
          <w:tcPr>
            <w:tcW w:w="635" w:type="pct"/>
            <w:vAlign w:val="center"/>
          </w:tcPr>
          <w:p>
            <w:pPr>
              <w:widowControl/>
              <w:spacing w:line="360" w:lineRule="auto"/>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7" w:type="pct"/>
            <w:vAlign w:val="center"/>
          </w:tcPr>
          <w:p>
            <w:pPr>
              <w:pStyle w:val="24"/>
              <w:widowControl/>
              <w:numPr>
                <w:ilvl w:val="0"/>
                <w:numId w:val="2"/>
              </w:numPr>
              <w:ind w:firstLineChars="0"/>
              <w:jc w:val="center"/>
              <w:rPr>
                <w:bCs/>
              </w:rPr>
            </w:pPr>
          </w:p>
        </w:tc>
        <w:tc>
          <w:tcPr>
            <w:tcW w:w="650" w:type="pct"/>
            <w:vMerge w:val="continue"/>
            <w:shd w:val="clear" w:color="auto" w:fill="auto"/>
            <w:vAlign w:val="center"/>
          </w:tcPr>
          <w:p>
            <w:pPr>
              <w:widowControl/>
              <w:spacing w:line="360" w:lineRule="auto"/>
              <w:jc w:val="center"/>
              <w:rPr>
                <w:rFonts w:asciiTheme="minorEastAsia" w:hAnsiTheme="minorEastAsia" w:eastAsiaTheme="minorEastAsia"/>
                <w:bCs/>
                <w:kern w:val="0"/>
                <w:szCs w:val="21"/>
              </w:rPr>
            </w:pP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t>支持自动生成交换机面板图，可基于端口颜色区分显示端口开关状态/连接状态/接入终端数目/告警终端等，管理员可直接在面板图上对端口进行开关操作和端口绑定策略，也可限定交换机端口下只允许绑定终端接入。</w:t>
            </w:r>
          </w:p>
        </w:tc>
        <w:tc>
          <w:tcPr>
            <w:tcW w:w="635" w:type="pct"/>
            <w:vAlign w:val="center"/>
          </w:tcPr>
          <w:p>
            <w:pPr>
              <w:widowControl/>
              <w:spacing w:line="360" w:lineRule="auto"/>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7" w:type="pct"/>
            <w:vAlign w:val="center"/>
          </w:tcPr>
          <w:p>
            <w:pPr>
              <w:pStyle w:val="24"/>
              <w:widowControl/>
              <w:numPr>
                <w:ilvl w:val="0"/>
                <w:numId w:val="2"/>
              </w:numPr>
              <w:ind w:firstLineChars="0"/>
              <w:jc w:val="center"/>
              <w:rPr>
                <w:bCs/>
              </w:rPr>
            </w:pPr>
          </w:p>
        </w:tc>
        <w:tc>
          <w:tcPr>
            <w:tcW w:w="650" w:type="pct"/>
            <w:shd w:val="clear" w:color="auto" w:fill="auto"/>
            <w:vAlign w:val="center"/>
          </w:tcPr>
          <w:p>
            <w:pPr>
              <w:widowControl/>
              <w:spacing w:line="360" w:lineRule="auto"/>
              <w:jc w:val="center"/>
              <w:rPr>
                <w:rFonts w:asciiTheme="minorEastAsia" w:hAnsiTheme="minorEastAsia" w:eastAsiaTheme="minorEastAsia"/>
                <w:bCs/>
                <w:kern w:val="0"/>
                <w:szCs w:val="21"/>
              </w:rPr>
            </w:pPr>
            <w:r>
              <w:rPr>
                <w:rFonts w:asciiTheme="minorEastAsia" w:hAnsiTheme="minorEastAsia" w:eastAsiaTheme="minorEastAsia"/>
                <w:bCs/>
                <w:kern w:val="0"/>
                <w:szCs w:val="21"/>
              </w:rPr>
              <w:t>IP地址管理</w:t>
            </w: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t>支持DHCP集中管理IP地址，可同时Trunk管理多个VLAN的IP分配功能，无需配置交换机DHCP RELAY即可实现为所有VLAN分配固定IP地址，管理员可自定义DHCP option功能，以兼容未来不同网络环境。能够基于部门、标签、终端类型、操作系统下发固定的IP地址段。</w:t>
            </w:r>
          </w:p>
        </w:tc>
        <w:tc>
          <w:tcPr>
            <w:tcW w:w="635" w:type="pct"/>
            <w:vAlign w:val="center"/>
          </w:tcPr>
          <w:p>
            <w:pPr>
              <w:widowControl/>
              <w:spacing w:line="360" w:lineRule="auto"/>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7" w:type="pct"/>
            <w:vAlign w:val="center"/>
          </w:tcPr>
          <w:p>
            <w:pPr>
              <w:pStyle w:val="24"/>
              <w:widowControl/>
              <w:numPr>
                <w:ilvl w:val="0"/>
                <w:numId w:val="2"/>
              </w:numPr>
              <w:ind w:firstLineChars="0"/>
              <w:jc w:val="center"/>
              <w:rPr>
                <w:bCs/>
              </w:rPr>
            </w:pPr>
          </w:p>
        </w:tc>
        <w:tc>
          <w:tcPr>
            <w:tcW w:w="650" w:type="pct"/>
            <w:shd w:val="clear" w:color="auto" w:fill="auto"/>
            <w:vAlign w:val="center"/>
          </w:tcPr>
          <w:p>
            <w:pPr>
              <w:widowControl/>
              <w:spacing w:line="360" w:lineRule="auto"/>
              <w:jc w:val="center"/>
              <w:rPr>
                <w:rFonts w:asciiTheme="minorEastAsia" w:hAnsiTheme="minorEastAsia" w:eastAsiaTheme="minorEastAsia"/>
                <w:bCs/>
                <w:kern w:val="0"/>
                <w:szCs w:val="21"/>
              </w:rPr>
            </w:pPr>
            <w:r>
              <w:rPr>
                <w:rFonts w:asciiTheme="minorEastAsia" w:hAnsiTheme="minorEastAsia" w:eastAsiaTheme="minorEastAsia"/>
                <w:bCs/>
                <w:kern w:val="0"/>
                <w:szCs w:val="21"/>
              </w:rPr>
              <w:t>系统自防护</w:t>
            </w: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t>支持在准入服务器和二级探针设备上虚拟密管服务进行可疑行为监测，记录异常访问日志，管理员可自定义整体访问频率、单个服务访问频率、服务数访问频率等阈值进行告警和阻断。【须提供功能截图证明】</w:t>
            </w:r>
          </w:p>
        </w:tc>
        <w:tc>
          <w:tcPr>
            <w:tcW w:w="635" w:type="pct"/>
            <w:vAlign w:val="center"/>
          </w:tcPr>
          <w:p>
            <w:pPr>
              <w:widowControl/>
              <w:spacing w:line="360" w:lineRule="auto"/>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7" w:type="pct"/>
            <w:vAlign w:val="center"/>
          </w:tcPr>
          <w:p>
            <w:pPr>
              <w:pStyle w:val="24"/>
              <w:widowControl/>
              <w:numPr>
                <w:ilvl w:val="0"/>
                <w:numId w:val="2"/>
              </w:numPr>
              <w:ind w:firstLineChars="0"/>
              <w:jc w:val="center"/>
              <w:rPr>
                <w:bCs/>
              </w:rPr>
            </w:pPr>
          </w:p>
        </w:tc>
        <w:tc>
          <w:tcPr>
            <w:tcW w:w="650" w:type="pct"/>
            <w:shd w:val="clear" w:color="auto" w:fill="auto"/>
            <w:vAlign w:val="center"/>
          </w:tcPr>
          <w:p>
            <w:pPr>
              <w:widowControl/>
              <w:spacing w:line="360" w:lineRule="auto"/>
              <w:jc w:val="center"/>
              <w:rPr>
                <w:rFonts w:hint="default" w:asciiTheme="minorEastAsia" w:hAnsiTheme="minorEastAsia" w:eastAsiaTheme="minorEastAsia"/>
                <w:bCs/>
                <w:kern w:val="0"/>
                <w:szCs w:val="21"/>
                <w:lang w:val="en-US" w:eastAsia="zh-CN"/>
              </w:rPr>
            </w:pPr>
            <w:r>
              <w:rPr>
                <w:rFonts w:hint="eastAsia" w:asciiTheme="minorEastAsia" w:hAnsiTheme="minorEastAsia" w:eastAsiaTheme="minorEastAsia"/>
                <w:bCs/>
                <w:kern w:val="0"/>
                <w:szCs w:val="21"/>
                <w:lang w:val="en-US" w:eastAsia="zh-CN"/>
              </w:rPr>
              <w:t>级联要求</w:t>
            </w: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hint="eastAsia" w:cs="Times New Roman" w:asciiTheme="minorEastAsia" w:hAnsiTheme="minorEastAsia" w:eastAsiaTheme="minorEastAsia"/>
                <w:kern w:val="0"/>
                <w:szCs w:val="21"/>
              </w:rPr>
              <w:t>支持</w:t>
            </w:r>
            <w:r>
              <w:rPr>
                <w:rFonts w:hint="eastAsia" w:cs="Times New Roman" w:asciiTheme="minorEastAsia" w:hAnsiTheme="minorEastAsia" w:eastAsiaTheme="minorEastAsia"/>
                <w:kern w:val="0"/>
                <w:szCs w:val="21"/>
                <w:lang w:val="en-US" w:eastAsia="zh-CN"/>
              </w:rPr>
              <w:t>向总部系统同步本地管理数据，作为无限级分布式部署的下级分支，为总部的</w:t>
            </w:r>
            <w:r>
              <w:rPr>
                <w:rFonts w:hint="eastAsia" w:cs="Times New Roman" w:asciiTheme="minorEastAsia" w:hAnsiTheme="minorEastAsia" w:eastAsiaTheme="minorEastAsia"/>
                <w:kern w:val="0"/>
                <w:szCs w:val="21"/>
              </w:rPr>
              <w:t>集中大屏</w:t>
            </w:r>
            <w:r>
              <w:rPr>
                <w:rFonts w:hint="eastAsia" w:cs="Times New Roman" w:asciiTheme="minorEastAsia" w:hAnsiTheme="minorEastAsia" w:eastAsiaTheme="minorEastAsia"/>
                <w:kern w:val="0"/>
                <w:szCs w:val="21"/>
                <w:lang w:val="en-US" w:eastAsia="zh-CN"/>
              </w:rPr>
              <w:t>提供基础数据，总部可通过集中大屏查看该下级单位的管控总数、在线数、客户端安装数、违规数、操作系统明细、设备类型明细等内容，同时可</w:t>
            </w:r>
            <w:r>
              <w:rPr>
                <w:rFonts w:hint="eastAsia" w:cs="Times New Roman" w:asciiTheme="minorEastAsia" w:hAnsiTheme="minorEastAsia" w:eastAsiaTheme="minorEastAsia"/>
                <w:kern w:val="0"/>
                <w:szCs w:val="21"/>
              </w:rPr>
              <w:t>全局</w:t>
            </w:r>
            <w:r>
              <w:rPr>
                <w:rFonts w:hint="eastAsia" w:cs="Times New Roman" w:asciiTheme="minorEastAsia" w:hAnsiTheme="minorEastAsia" w:eastAsiaTheme="minorEastAsia"/>
                <w:kern w:val="0"/>
                <w:szCs w:val="21"/>
                <w:lang w:val="en-US" w:eastAsia="zh-CN"/>
              </w:rPr>
              <w:t>检索</w:t>
            </w:r>
            <w:r>
              <w:rPr>
                <w:rFonts w:hint="eastAsia" w:cs="Times New Roman" w:asciiTheme="minorEastAsia" w:hAnsiTheme="minorEastAsia" w:eastAsiaTheme="minorEastAsia"/>
                <w:kern w:val="0"/>
                <w:szCs w:val="21"/>
              </w:rPr>
              <w:t>IP/MAC/责任人等</w:t>
            </w:r>
            <w:r>
              <w:rPr>
                <w:rFonts w:hint="eastAsia" w:cs="Times New Roman" w:asciiTheme="minorEastAsia" w:hAnsiTheme="minorEastAsia" w:eastAsiaTheme="minorEastAsia"/>
                <w:kern w:val="0"/>
                <w:szCs w:val="21"/>
                <w:lang w:val="en-US" w:eastAsia="zh-CN"/>
              </w:rPr>
              <w:t>信息</w:t>
            </w:r>
            <w:r>
              <w:rPr>
                <w:rFonts w:hint="eastAsia" w:cs="Times New Roman" w:asciiTheme="minorEastAsia" w:hAnsiTheme="minorEastAsia" w:eastAsiaTheme="minorEastAsia"/>
                <w:kern w:val="0"/>
                <w:szCs w:val="21"/>
              </w:rPr>
              <w:t>定位</w:t>
            </w:r>
            <w:r>
              <w:rPr>
                <w:rFonts w:hint="eastAsia" w:cs="Times New Roman" w:asciiTheme="minorEastAsia" w:hAnsiTheme="minorEastAsia" w:eastAsiaTheme="minorEastAsia"/>
                <w:kern w:val="0"/>
                <w:szCs w:val="21"/>
                <w:lang w:val="en-US" w:eastAsia="zh-CN"/>
              </w:rPr>
              <w:t>下级</w:t>
            </w:r>
            <w:r>
              <w:rPr>
                <w:rFonts w:hint="eastAsia" w:cs="Times New Roman" w:asciiTheme="minorEastAsia" w:hAnsiTheme="minorEastAsia" w:eastAsiaTheme="minorEastAsia"/>
                <w:kern w:val="0"/>
                <w:szCs w:val="21"/>
              </w:rPr>
              <w:t>终端</w:t>
            </w:r>
            <w:r>
              <w:rPr>
                <w:rFonts w:hint="eastAsia" w:cs="Times New Roman" w:asciiTheme="minorEastAsia" w:hAnsiTheme="minorEastAsia" w:eastAsiaTheme="minorEastAsia"/>
                <w:kern w:val="0"/>
                <w:szCs w:val="21"/>
                <w:lang w:val="en-US" w:eastAsia="zh-CN"/>
              </w:rPr>
              <w:t>隶属关系。</w:t>
            </w:r>
            <w:r>
              <w:rPr>
                <w:rFonts w:hint="eastAsia" w:cs="Times New Roman" w:asciiTheme="minorEastAsia" w:hAnsiTheme="minorEastAsia" w:eastAsiaTheme="minorEastAsia"/>
                <w:kern w:val="0"/>
                <w:szCs w:val="21"/>
              </w:rPr>
              <w:t>【集中大屏查看部署图及全局搜索定位，须提供功能截图证明】</w:t>
            </w:r>
          </w:p>
        </w:tc>
        <w:tc>
          <w:tcPr>
            <w:tcW w:w="635" w:type="pct"/>
            <w:vAlign w:val="center"/>
          </w:tcPr>
          <w:p>
            <w:pPr>
              <w:widowControl/>
              <w:spacing w:line="360" w:lineRule="auto"/>
              <w:jc w:val="center"/>
              <w:rPr>
                <w:rFonts w:hint="eastAsia"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67" w:type="pct"/>
            <w:vAlign w:val="center"/>
          </w:tcPr>
          <w:p>
            <w:pPr>
              <w:pStyle w:val="24"/>
              <w:widowControl/>
              <w:numPr>
                <w:ilvl w:val="0"/>
                <w:numId w:val="2"/>
              </w:numPr>
              <w:ind w:firstLineChars="0"/>
              <w:jc w:val="center"/>
              <w:rPr>
                <w:bCs/>
              </w:rPr>
            </w:pPr>
          </w:p>
        </w:tc>
        <w:tc>
          <w:tcPr>
            <w:tcW w:w="650" w:type="pct"/>
            <w:vMerge w:val="restart"/>
            <w:shd w:val="clear" w:color="auto" w:fill="auto"/>
            <w:vAlign w:val="center"/>
          </w:tcPr>
          <w:p>
            <w:pPr>
              <w:widowControl/>
              <w:spacing w:line="360" w:lineRule="auto"/>
              <w:jc w:val="center"/>
              <w:rPr>
                <w:rFonts w:asciiTheme="minorEastAsia" w:hAnsiTheme="minorEastAsia" w:eastAsiaTheme="minorEastAsia"/>
                <w:bCs/>
                <w:kern w:val="0"/>
                <w:szCs w:val="21"/>
              </w:rPr>
            </w:pPr>
            <w:r>
              <w:rPr>
                <w:rFonts w:asciiTheme="minorEastAsia" w:hAnsiTheme="minorEastAsia" w:eastAsiaTheme="minorEastAsia"/>
                <w:bCs/>
                <w:kern w:val="0"/>
                <w:szCs w:val="21"/>
              </w:rPr>
              <w:t>资质要求</w:t>
            </w: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t>原厂商必须提供《涉密信息系统产品检测证书》、《计算机信息系统安全专用产品销售许可证》、《计算机软件著作权登记证书》、《信息技术产品安全测试证书》《国家信息安全产品认证证书》。【需提供证书复印件，并加盖公章】</w:t>
            </w:r>
          </w:p>
        </w:tc>
        <w:tc>
          <w:tcPr>
            <w:tcW w:w="635" w:type="pct"/>
            <w:vAlign w:val="center"/>
          </w:tcPr>
          <w:p>
            <w:pPr>
              <w:widowControl/>
              <w:spacing w:line="360" w:lineRule="auto"/>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67" w:type="pct"/>
            <w:vAlign w:val="center"/>
          </w:tcPr>
          <w:p>
            <w:pPr>
              <w:pStyle w:val="24"/>
              <w:widowControl/>
              <w:numPr>
                <w:ilvl w:val="0"/>
                <w:numId w:val="2"/>
              </w:numPr>
              <w:ind w:firstLineChars="0"/>
              <w:jc w:val="center"/>
              <w:rPr>
                <w:bCs/>
              </w:rPr>
            </w:pPr>
          </w:p>
        </w:tc>
        <w:tc>
          <w:tcPr>
            <w:tcW w:w="650" w:type="pct"/>
            <w:vMerge w:val="continue"/>
            <w:shd w:val="clear" w:color="auto" w:fill="auto"/>
            <w:vAlign w:val="center"/>
          </w:tcPr>
          <w:p>
            <w:pPr>
              <w:widowControl/>
              <w:spacing w:line="360" w:lineRule="auto"/>
              <w:jc w:val="center"/>
              <w:rPr>
                <w:rFonts w:hint="eastAsia" w:asciiTheme="minorEastAsia" w:hAnsiTheme="minorEastAsia" w:eastAsiaTheme="minorEastAsia"/>
                <w:bCs/>
                <w:kern w:val="0"/>
                <w:szCs w:val="21"/>
                <w:lang w:val="en-US" w:eastAsia="zh-CN"/>
              </w:rPr>
            </w:pPr>
          </w:p>
        </w:tc>
        <w:tc>
          <w:tcPr>
            <w:tcW w:w="3347" w:type="pct"/>
            <w:shd w:val="clear" w:color="auto" w:fill="auto"/>
            <w:vAlign w:val="center"/>
          </w:tcPr>
          <w:p>
            <w:pPr>
              <w:widowControl/>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原厂商应具备政府部委用户总部案例至少7个应用案例。【提供相关合同复印件并加盖原厂商公章】</w:t>
            </w:r>
          </w:p>
        </w:tc>
        <w:tc>
          <w:tcPr>
            <w:tcW w:w="635" w:type="pct"/>
            <w:vAlign w:val="center"/>
          </w:tcPr>
          <w:p>
            <w:pPr>
              <w:widowControl/>
              <w:spacing w:line="360" w:lineRule="auto"/>
              <w:jc w:val="center"/>
              <w:rPr>
                <w:rFonts w:asciiTheme="minorEastAsia" w:hAnsiTheme="minorEastAsia" w:eastAsiaTheme="minorEastAsia"/>
                <w:kern w:val="0"/>
                <w:szCs w:val="21"/>
              </w:rPr>
            </w:pPr>
          </w:p>
        </w:tc>
      </w:tr>
    </w:tbl>
    <w:p>
      <w:pPr>
        <w:spacing w:before="156" w:beforeLines="50"/>
        <w:rPr>
          <w:rFonts w:ascii="宋体" w:hAnsi="宋体"/>
        </w:rPr>
      </w:pPr>
    </w:p>
    <w:sectPr>
      <w:footerReference r:id="rId3" w:type="default"/>
      <w:pgSz w:w="11906" w:h="16838"/>
      <w:pgMar w:top="851"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w:t>
    </w:r>
    <w: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15135"/>
    <w:multiLevelType w:val="singleLevel"/>
    <w:tmpl w:val="94915135"/>
    <w:lvl w:ilvl="0" w:tentative="0">
      <w:start w:val="1"/>
      <w:numFmt w:val="decimal"/>
      <w:suff w:val="nothing"/>
      <w:lvlText w:val="%1、"/>
      <w:lvlJc w:val="left"/>
    </w:lvl>
  </w:abstractNum>
  <w:abstractNum w:abstractNumId="1">
    <w:nsid w:val="6C0C5A6D"/>
    <w:multiLevelType w:val="singleLevel"/>
    <w:tmpl w:val="6C0C5A6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yMDRhN2JlZmY0YzVhMzQwOGUzNWE3ZWU1OTdjNWUifQ=="/>
  </w:docVars>
  <w:rsids>
    <w:rsidRoot w:val="00172A27"/>
    <w:rsid w:val="000038A0"/>
    <w:rsid w:val="00010540"/>
    <w:rsid w:val="00010CA6"/>
    <w:rsid w:val="00011C37"/>
    <w:rsid w:val="00013630"/>
    <w:rsid w:val="00030104"/>
    <w:rsid w:val="000869B2"/>
    <w:rsid w:val="000949EC"/>
    <w:rsid w:val="000A1D78"/>
    <w:rsid w:val="000A1F37"/>
    <w:rsid w:val="000C22A1"/>
    <w:rsid w:val="000E3256"/>
    <w:rsid w:val="000E646B"/>
    <w:rsid w:val="0011257C"/>
    <w:rsid w:val="0013084A"/>
    <w:rsid w:val="00160F9F"/>
    <w:rsid w:val="00165CE8"/>
    <w:rsid w:val="00172A27"/>
    <w:rsid w:val="00173FAE"/>
    <w:rsid w:val="00181420"/>
    <w:rsid w:val="001921AC"/>
    <w:rsid w:val="00195E3D"/>
    <w:rsid w:val="0019670A"/>
    <w:rsid w:val="001D47F1"/>
    <w:rsid w:val="001F7915"/>
    <w:rsid w:val="00203096"/>
    <w:rsid w:val="0022051C"/>
    <w:rsid w:val="00236618"/>
    <w:rsid w:val="002653B5"/>
    <w:rsid w:val="002720E1"/>
    <w:rsid w:val="00272737"/>
    <w:rsid w:val="00272D3B"/>
    <w:rsid w:val="00273893"/>
    <w:rsid w:val="0028198B"/>
    <w:rsid w:val="002907A7"/>
    <w:rsid w:val="002B3691"/>
    <w:rsid w:val="002C526B"/>
    <w:rsid w:val="002D306E"/>
    <w:rsid w:val="00301C77"/>
    <w:rsid w:val="00307FF0"/>
    <w:rsid w:val="00320C3F"/>
    <w:rsid w:val="00320F68"/>
    <w:rsid w:val="00340A3A"/>
    <w:rsid w:val="003543EC"/>
    <w:rsid w:val="00362D02"/>
    <w:rsid w:val="00364270"/>
    <w:rsid w:val="003704E5"/>
    <w:rsid w:val="00372AE1"/>
    <w:rsid w:val="003746C3"/>
    <w:rsid w:val="00391EFF"/>
    <w:rsid w:val="003A21CC"/>
    <w:rsid w:val="003C2A18"/>
    <w:rsid w:val="003E43CA"/>
    <w:rsid w:val="003F5110"/>
    <w:rsid w:val="00412863"/>
    <w:rsid w:val="00416015"/>
    <w:rsid w:val="00442A8A"/>
    <w:rsid w:val="00457716"/>
    <w:rsid w:val="00464BF2"/>
    <w:rsid w:val="0047347F"/>
    <w:rsid w:val="00490A15"/>
    <w:rsid w:val="004A2A05"/>
    <w:rsid w:val="004B1548"/>
    <w:rsid w:val="004B2B74"/>
    <w:rsid w:val="004C617A"/>
    <w:rsid w:val="004D213E"/>
    <w:rsid w:val="004D622C"/>
    <w:rsid w:val="004E23D3"/>
    <w:rsid w:val="004F10D2"/>
    <w:rsid w:val="004F7B49"/>
    <w:rsid w:val="004F7E3B"/>
    <w:rsid w:val="00501253"/>
    <w:rsid w:val="0050217A"/>
    <w:rsid w:val="005103D1"/>
    <w:rsid w:val="0052770B"/>
    <w:rsid w:val="0053158F"/>
    <w:rsid w:val="00543AF9"/>
    <w:rsid w:val="00567DE2"/>
    <w:rsid w:val="00577E22"/>
    <w:rsid w:val="005B1A2D"/>
    <w:rsid w:val="005D44D6"/>
    <w:rsid w:val="006117CC"/>
    <w:rsid w:val="0062695E"/>
    <w:rsid w:val="00632F9C"/>
    <w:rsid w:val="00637DF5"/>
    <w:rsid w:val="00645631"/>
    <w:rsid w:val="0065655C"/>
    <w:rsid w:val="00697927"/>
    <w:rsid w:val="006B1C96"/>
    <w:rsid w:val="006B3E28"/>
    <w:rsid w:val="006C740C"/>
    <w:rsid w:val="006D2DA3"/>
    <w:rsid w:val="006F2008"/>
    <w:rsid w:val="006F4AD7"/>
    <w:rsid w:val="00746031"/>
    <w:rsid w:val="0074642C"/>
    <w:rsid w:val="007470E2"/>
    <w:rsid w:val="0075165E"/>
    <w:rsid w:val="00755020"/>
    <w:rsid w:val="007671EC"/>
    <w:rsid w:val="00775F4B"/>
    <w:rsid w:val="00787A95"/>
    <w:rsid w:val="00790DBB"/>
    <w:rsid w:val="007B0EA1"/>
    <w:rsid w:val="007C0038"/>
    <w:rsid w:val="007E4590"/>
    <w:rsid w:val="007F0679"/>
    <w:rsid w:val="007F6AC9"/>
    <w:rsid w:val="008252F5"/>
    <w:rsid w:val="008310F9"/>
    <w:rsid w:val="00845106"/>
    <w:rsid w:val="008651C9"/>
    <w:rsid w:val="00876D12"/>
    <w:rsid w:val="008B2A98"/>
    <w:rsid w:val="008B73C2"/>
    <w:rsid w:val="008C1128"/>
    <w:rsid w:val="008C4729"/>
    <w:rsid w:val="008D21B8"/>
    <w:rsid w:val="008E500D"/>
    <w:rsid w:val="008E5079"/>
    <w:rsid w:val="008E60C3"/>
    <w:rsid w:val="008F0297"/>
    <w:rsid w:val="008F23EE"/>
    <w:rsid w:val="00914012"/>
    <w:rsid w:val="009337C2"/>
    <w:rsid w:val="00966354"/>
    <w:rsid w:val="009665BE"/>
    <w:rsid w:val="00985E5F"/>
    <w:rsid w:val="0099011A"/>
    <w:rsid w:val="009A07AC"/>
    <w:rsid w:val="009B5CCD"/>
    <w:rsid w:val="009C4F49"/>
    <w:rsid w:val="009D45F5"/>
    <w:rsid w:val="009D59A2"/>
    <w:rsid w:val="009D6733"/>
    <w:rsid w:val="009E17F5"/>
    <w:rsid w:val="00A06E6B"/>
    <w:rsid w:val="00A2207D"/>
    <w:rsid w:val="00A262B2"/>
    <w:rsid w:val="00A27A87"/>
    <w:rsid w:val="00A4721A"/>
    <w:rsid w:val="00A47F4C"/>
    <w:rsid w:val="00A94FF1"/>
    <w:rsid w:val="00AA7161"/>
    <w:rsid w:val="00AC1CFC"/>
    <w:rsid w:val="00B02C01"/>
    <w:rsid w:val="00B05F9D"/>
    <w:rsid w:val="00B07973"/>
    <w:rsid w:val="00B351DA"/>
    <w:rsid w:val="00B56903"/>
    <w:rsid w:val="00B6737E"/>
    <w:rsid w:val="00BB79B0"/>
    <w:rsid w:val="00BD23A1"/>
    <w:rsid w:val="00BE036A"/>
    <w:rsid w:val="00BE355F"/>
    <w:rsid w:val="00BF2B61"/>
    <w:rsid w:val="00C01DBD"/>
    <w:rsid w:val="00C042F1"/>
    <w:rsid w:val="00C1520A"/>
    <w:rsid w:val="00C21498"/>
    <w:rsid w:val="00C218B6"/>
    <w:rsid w:val="00C21A39"/>
    <w:rsid w:val="00C340C7"/>
    <w:rsid w:val="00C40217"/>
    <w:rsid w:val="00C47CBB"/>
    <w:rsid w:val="00C53976"/>
    <w:rsid w:val="00C74729"/>
    <w:rsid w:val="00C75987"/>
    <w:rsid w:val="00C77B7A"/>
    <w:rsid w:val="00C801F8"/>
    <w:rsid w:val="00C87009"/>
    <w:rsid w:val="00CA66C1"/>
    <w:rsid w:val="00CC0853"/>
    <w:rsid w:val="00CC0F43"/>
    <w:rsid w:val="00CC43B3"/>
    <w:rsid w:val="00CE3A81"/>
    <w:rsid w:val="00CE49FD"/>
    <w:rsid w:val="00CF3B78"/>
    <w:rsid w:val="00D049D3"/>
    <w:rsid w:val="00D11788"/>
    <w:rsid w:val="00D141AB"/>
    <w:rsid w:val="00D16365"/>
    <w:rsid w:val="00D21BB5"/>
    <w:rsid w:val="00D64BD5"/>
    <w:rsid w:val="00D75C18"/>
    <w:rsid w:val="00D867FB"/>
    <w:rsid w:val="00D95D2B"/>
    <w:rsid w:val="00DA483E"/>
    <w:rsid w:val="00DA5F90"/>
    <w:rsid w:val="00DB510F"/>
    <w:rsid w:val="00DD14D2"/>
    <w:rsid w:val="00DD3F6F"/>
    <w:rsid w:val="00DD63A7"/>
    <w:rsid w:val="00DE19B8"/>
    <w:rsid w:val="00DE4A3A"/>
    <w:rsid w:val="00DF2279"/>
    <w:rsid w:val="00DF5A7F"/>
    <w:rsid w:val="00E13F41"/>
    <w:rsid w:val="00E15CD0"/>
    <w:rsid w:val="00E3016C"/>
    <w:rsid w:val="00E5460D"/>
    <w:rsid w:val="00E622A2"/>
    <w:rsid w:val="00E62528"/>
    <w:rsid w:val="00E778B3"/>
    <w:rsid w:val="00E77944"/>
    <w:rsid w:val="00EB2930"/>
    <w:rsid w:val="00EC0E58"/>
    <w:rsid w:val="00EE019D"/>
    <w:rsid w:val="00F01D5D"/>
    <w:rsid w:val="00F078C5"/>
    <w:rsid w:val="00F25D44"/>
    <w:rsid w:val="00F26FF2"/>
    <w:rsid w:val="00F33EDF"/>
    <w:rsid w:val="00F36631"/>
    <w:rsid w:val="00F37240"/>
    <w:rsid w:val="00F41689"/>
    <w:rsid w:val="00F507C7"/>
    <w:rsid w:val="00F535DE"/>
    <w:rsid w:val="00F602C4"/>
    <w:rsid w:val="00F63656"/>
    <w:rsid w:val="00F7449C"/>
    <w:rsid w:val="00F848F5"/>
    <w:rsid w:val="00FB7133"/>
    <w:rsid w:val="00FC5FDB"/>
    <w:rsid w:val="00FD284E"/>
    <w:rsid w:val="00FD2B1B"/>
    <w:rsid w:val="00FE2222"/>
    <w:rsid w:val="00FE5058"/>
    <w:rsid w:val="00FE5B22"/>
    <w:rsid w:val="031A67DB"/>
    <w:rsid w:val="08F17FDE"/>
    <w:rsid w:val="0B53664A"/>
    <w:rsid w:val="0ECC3B7F"/>
    <w:rsid w:val="0F5A1130"/>
    <w:rsid w:val="10CB7366"/>
    <w:rsid w:val="12577C34"/>
    <w:rsid w:val="13A46379"/>
    <w:rsid w:val="14D1353D"/>
    <w:rsid w:val="15FA6724"/>
    <w:rsid w:val="17EE117C"/>
    <w:rsid w:val="18140E85"/>
    <w:rsid w:val="1A516B2E"/>
    <w:rsid w:val="1ACC4407"/>
    <w:rsid w:val="1C186E18"/>
    <w:rsid w:val="27027B2E"/>
    <w:rsid w:val="2BF31DB7"/>
    <w:rsid w:val="2E141EF5"/>
    <w:rsid w:val="2E532A1D"/>
    <w:rsid w:val="302E2AF1"/>
    <w:rsid w:val="307D1FD3"/>
    <w:rsid w:val="310149B3"/>
    <w:rsid w:val="32DD4FAB"/>
    <w:rsid w:val="36A111C5"/>
    <w:rsid w:val="39A26ED8"/>
    <w:rsid w:val="3B5B1163"/>
    <w:rsid w:val="3C5A141B"/>
    <w:rsid w:val="3DD551FD"/>
    <w:rsid w:val="3DF633C5"/>
    <w:rsid w:val="3E3F6B1A"/>
    <w:rsid w:val="3F214472"/>
    <w:rsid w:val="3F6822EF"/>
    <w:rsid w:val="42CE15E4"/>
    <w:rsid w:val="44892EE5"/>
    <w:rsid w:val="475E3CFC"/>
    <w:rsid w:val="4C101AF6"/>
    <w:rsid w:val="4E013DEC"/>
    <w:rsid w:val="4E8A5B90"/>
    <w:rsid w:val="4F912F4E"/>
    <w:rsid w:val="515D758B"/>
    <w:rsid w:val="51A056CA"/>
    <w:rsid w:val="52B55672"/>
    <w:rsid w:val="54493DF7"/>
    <w:rsid w:val="5495703C"/>
    <w:rsid w:val="57DA0AE7"/>
    <w:rsid w:val="59880BAE"/>
    <w:rsid w:val="5B3529C3"/>
    <w:rsid w:val="5BD7618C"/>
    <w:rsid w:val="5CEB1EEF"/>
    <w:rsid w:val="5DCF35BF"/>
    <w:rsid w:val="609E54CA"/>
    <w:rsid w:val="61882403"/>
    <w:rsid w:val="61E01C05"/>
    <w:rsid w:val="653F3CE5"/>
    <w:rsid w:val="66560D21"/>
    <w:rsid w:val="67674868"/>
    <w:rsid w:val="679C6C08"/>
    <w:rsid w:val="68CD4B9F"/>
    <w:rsid w:val="69320916"/>
    <w:rsid w:val="6A293B1C"/>
    <w:rsid w:val="6BC37441"/>
    <w:rsid w:val="6C865790"/>
    <w:rsid w:val="6DF8446C"/>
    <w:rsid w:val="6DFA6436"/>
    <w:rsid w:val="6E2C144B"/>
    <w:rsid w:val="709B5583"/>
    <w:rsid w:val="710E3FA6"/>
    <w:rsid w:val="71BC7356"/>
    <w:rsid w:val="71C823A7"/>
    <w:rsid w:val="7AD45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8"/>
    <w:unhideWhenUsed/>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0"/>
    <w:pPr>
      <w:jc w:val="left"/>
    </w:pPr>
  </w:style>
  <w:style w:type="paragraph" w:styleId="5">
    <w:name w:val="Balloon Text"/>
    <w:basedOn w:val="1"/>
    <w:qFormat/>
    <w:uiPriority w:val="0"/>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0"/>
    <w:semiHidden/>
    <w:unhideWhenUsed/>
    <w:qFormat/>
    <w:uiPriority w:val="0"/>
    <w:rPr>
      <w:b/>
      <w:bCs/>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unhideWhenUsed/>
    <w:qFormat/>
    <w:uiPriority w:val="99"/>
    <w:rPr>
      <w:color w:val="0000FF"/>
      <w:u w:val="single"/>
    </w:rPr>
  </w:style>
  <w:style w:type="character" w:styleId="15">
    <w:name w:val="annotation reference"/>
    <w:basedOn w:val="12"/>
    <w:semiHidden/>
    <w:unhideWhenUsed/>
    <w:qFormat/>
    <w:uiPriority w:val="0"/>
    <w:rPr>
      <w:sz w:val="21"/>
      <w:szCs w:val="21"/>
    </w:rPr>
  </w:style>
  <w:style w:type="character" w:customStyle="1" w:styleId="16">
    <w:name w:val="param-name"/>
    <w:basedOn w:val="12"/>
    <w:qFormat/>
    <w:uiPriority w:val="0"/>
  </w:style>
  <w:style w:type="character" w:customStyle="1" w:styleId="17">
    <w:name w:val="标题 1 字符"/>
    <w:link w:val="2"/>
    <w:qFormat/>
    <w:uiPriority w:val="9"/>
    <w:rPr>
      <w:rFonts w:ascii="宋体" w:hAnsi="宋体" w:cs="宋体"/>
      <w:b/>
      <w:bCs/>
      <w:kern w:val="36"/>
      <w:sz w:val="48"/>
      <w:szCs w:val="48"/>
    </w:rPr>
  </w:style>
  <w:style w:type="character" w:customStyle="1" w:styleId="18">
    <w:name w:val="标题 2 字符"/>
    <w:link w:val="3"/>
    <w:qFormat/>
    <w:uiPriority w:val="0"/>
    <w:rPr>
      <w:rFonts w:ascii="Cambria" w:hAnsi="Cambria" w:eastAsia="宋体" w:cs="Times New Roman"/>
      <w:b/>
      <w:bCs/>
      <w:kern w:val="2"/>
      <w:sz w:val="32"/>
      <w:szCs w:val="32"/>
    </w:rPr>
  </w:style>
  <w:style w:type="character" w:customStyle="1" w:styleId="19">
    <w:name w:val="批注文字 字符"/>
    <w:basedOn w:val="12"/>
    <w:link w:val="4"/>
    <w:semiHidden/>
    <w:qFormat/>
    <w:uiPriority w:val="0"/>
    <w:rPr>
      <w:kern w:val="2"/>
      <w:sz w:val="21"/>
    </w:rPr>
  </w:style>
  <w:style w:type="character" w:customStyle="1" w:styleId="20">
    <w:name w:val="批注主题 字符"/>
    <w:basedOn w:val="19"/>
    <w:link w:val="9"/>
    <w:semiHidden/>
    <w:qFormat/>
    <w:uiPriority w:val="0"/>
    <w:rPr>
      <w:b/>
      <w:bCs/>
      <w:kern w:val="2"/>
      <w:sz w:val="21"/>
    </w:rPr>
  </w:style>
  <w:style w:type="paragraph" w:styleId="21">
    <w:name w:val="List Paragraph"/>
    <w:basedOn w:val="1"/>
    <w:qFormat/>
    <w:uiPriority w:val="99"/>
    <w:pPr>
      <w:ind w:firstLine="420" w:firstLineChars="200"/>
    </w:pPr>
  </w:style>
  <w:style w:type="paragraph" w:customStyle="1" w:styleId="22">
    <w:name w:val="列表段落1"/>
    <w:basedOn w:val="1"/>
    <w:qFormat/>
    <w:uiPriority w:val="34"/>
    <w:pPr>
      <w:ind w:firstLine="420" w:firstLineChars="200"/>
    </w:pPr>
  </w:style>
  <w:style w:type="paragraph" w:customStyle="1" w:styleId="23">
    <w:name w:val="List Paragraph1"/>
    <w:basedOn w:val="1"/>
    <w:qFormat/>
    <w:uiPriority w:val="34"/>
    <w:pPr>
      <w:ind w:firstLine="420" w:firstLineChars="200"/>
    </w:pPr>
  </w:style>
  <w:style w:type="paragraph" w:customStyle="1" w:styleId="24">
    <w:name w:val="TOC style"/>
    <w:basedOn w:val="1"/>
    <w:next w:val="21"/>
    <w:qFormat/>
    <w:uiPriority w:val="34"/>
    <w:pPr>
      <w:autoSpaceDE w:val="0"/>
      <w:autoSpaceDN w:val="0"/>
      <w:adjustRightInd w:val="0"/>
      <w:spacing w:line="360" w:lineRule="auto"/>
      <w:ind w:firstLine="420" w:firstLineChars="200"/>
      <w:jc w:val="left"/>
    </w:pPr>
    <w:rPr>
      <w:snapToGrid w:val="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3204</Words>
  <Characters>3449</Characters>
  <Lines>14</Lines>
  <Paragraphs>3</Paragraphs>
  <TotalTime>8</TotalTime>
  <ScaleCrop>false</ScaleCrop>
  <LinksUpToDate>false</LinksUpToDate>
  <CharactersWithSpaces>3790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2022-07-19T07:16:00Z</dcterms:created>
  <dc:creator>微软用户</dc:creator>
  <cp:lastModifiedBy>拼搏</cp:lastModifiedBy>
  <cp:lastPrinted>2017-08-22T08:23:00Z</cp:lastPrinted>
  <dcterms:modified xsi:type="dcterms:W3CDTF">2022-07-19T08:43:40Z</dcterms:modified>
  <dc:title>NO：2008014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5D9AB0BAD0A54D32991B81C0450EC1F6</vt:lpwstr>
  </property>
</Properties>
</file>